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宋体" w:hAnsi="宋体" w:eastAsia="宋体"/>
          <w:b/>
          <w:sz w:val="36"/>
        </w:rPr>
      </w:pPr>
      <w:r>
        <w:rPr>
          <w:rFonts w:hint="eastAsia" w:ascii="宋体" w:hAnsi="宋体" w:eastAsia="宋体"/>
          <w:b/>
          <w:sz w:val="36"/>
          <w:lang w:val="en-US" w:eastAsia="zh-CN"/>
        </w:rPr>
        <w:t>盐城国丰海上风力发电有限公司--2024年度变压器油质化验服务</w:t>
      </w:r>
      <w:r>
        <w:rPr>
          <w:rFonts w:ascii="宋体" w:hAnsi="宋体" w:eastAsia="宋体"/>
          <w:b/>
          <w:sz w:val="36"/>
        </w:rPr>
        <w:t>询价函</w:t>
      </w:r>
    </w:p>
    <w:p>
      <w:pPr>
        <w:widowControl/>
        <w:spacing w:line="360" w:lineRule="auto"/>
        <w:jc w:val="left"/>
        <w:rPr>
          <w:rFonts w:ascii="宋体" w:hAnsi="宋体" w:eastAsia="宋体"/>
          <w:b/>
          <w:sz w:val="28"/>
        </w:rPr>
      </w:pPr>
      <w:r>
        <w:rPr>
          <w:rFonts w:ascii="宋体" w:hAnsi="宋体" w:eastAsia="宋体"/>
          <w:b/>
          <w:sz w:val="28"/>
        </w:rPr>
        <w:t>一、项目概况</w:t>
      </w:r>
    </w:p>
    <w:p>
      <w:pPr>
        <w:spacing w:line="360" w:lineRule="auto"/>
        <w:ind w:firstLine="530" w:firstLineChars="221"/>
        <w:rPr>
          <w:rFonts w:ascii="宋体" w:hAnsi="宋体" w:eastAsia="宋体"/>
          <w:sz w:val="24"/>
          <w:szCs w:val="21"/>
        </w:rPr>
      </w:pPr>
      <w:r>
        <w:rPr>
          <w:rFonts w:hint="eastAsia" w:ascii="宋体" w:hAnsi="宋体" w:eastAsia="宋体"/>
          <w:sz w:val="24"/>
          <w:szCs w:val="21"/>
        </w:rPr>
        <w:t>1.1 招标人：盐城国丰海上风力发电有限公司。</w:t>
      </w:r>
    </w:p>
    <w:p>
      <w:pPr>
        <w:spacing w:line="360" w:lineRule="auto"/>
        <w:ind w:firstLine="530" w:firstLineChars="221"/>
        <w:rPr>
          <w:rFonts w:ascii="宋体" w:hAnsi="宋体" w:eastAsia="宋体"/>
          <w:sz w:val="24"/>
          <w:szCs w:val="21"/>
          <w:highlight w:val="none"/>
        </w:rPr>
      </w:pPr>
      <w:r>
        <w:rPr>
          <w:rFonts w:hint="eastAsia" w:ascii="宋体" w:hAnsi="宋体" w:eastAsia="宋体"/>
          <w:sz w:val="24"/>
          <w:szCs w:val="21"/>
        </w:rPr>
        <w:t>1.2 项目名称：</w:t>
      </w:r>
      <w:r>
        <w:rPr>
          <w:rFonts w:hint="eastAsia" w:ascii="宋体" w:hAnsi="宋体" w:eastAsia="宋体"/>
          <w:sz w:val="24"/>
          <w:szCs w:val="21"/>
          <w:lang w:eastAsia="zh-CN"/>
        </w:rPr>
        <w:t>盐城国丰海上风力发电有限公司--2024年度变压器油质化验服</w:t>
      </w:r>
      <w:r>
        <w:rPr>
          <w:rFonts w:hint="eastAsia" w:ascii="宋体" w:hAnsi="宋体" w:eastAsia="宋体"/>
          <w:sz w:val="24"/>
          <w:szCs w:val="21"/>
          <w:highlight w:val="none"/>
          <w:lang w:eastAsia="zh-CN"/>
        </w:rPr>
        <w:t>务</w:t>
      </w:r>
      <w:r>
        <w:rPr>
          <w:rFonts w:hint="eastAsia" w:ascii="宋体" w:hAnsi="宋体" w:eastAsia="宋体"/>
          <w:sz w:val="24"/>
          <w:szCs w:val="21"/>
          <w:highlight w:val="none"/>
        </w:rPr>
        <w:t>。</w:t>
      </w:r>
    </w:p>
    <w:p>
      <w:pPr>
        <w:spacing w:line="360" w:lineRule="auto"/>
        <w:ind w:firstLine="480" w:firstLineChars="200"/>
        <w:rPr>
          <w:rFonts w:ascii="宋体" w:hAnsi="宋体" w:eastAsia="宋体"/>
          <w:sz w:val="24"/>
          <w:szCs w:val="21"/>
          <w:highlight w:val="none"/>
        </w:rPr>
      </w:pPr>
      <w:r>
        <w:rPr>
          <w:rFonts w:hint="eastAsia" w:ascii="宋体" w:hAnsi="宋体" w:eastAsia="宋体"/>
          <w:sz w:val="24"/>
          <w:szCs w:val="21"/>
          <w:highlight w:val="none"/>
        </w:rPr>
        <w:t>1.3 项目地点：江苏省盐城市大丰区大丰港</w:t>
      </w:r>
      <w:r>
        <w:rPr>
          <w:rFonts w:ascii="宋体" w:hAnsi="宋体" w:eastAsia="宋体"/>
          <w:sz w:val="24"/>
          <w:szCs w:val="21"/>
          <w:highlight w:val="none"/>
        </w:rPr>
        <w:t>。</w:t>
      </w:r>
    </w:p>
    <w:p>
      <w:pPr>
        <w:pStyle w:val="15"/>
        <w:spacing w:line="360" w:lineRule="auto"/>
        <w:ind w:firstLine="480" w:firstLineChars="200"/>
        <w:rPr>
          <w:rFonts w:hint="default" w:cstheme="minorBidi"/>
          <w:color w:val="auto"/>
          <w:kern w:val="2"/>
          <w:szCs w:val="21"/>
          <w:highlight w:val="none"/>
        </w:rPr>
      </w:pPr>
      <w:r>
        <w:rPr>
          <w:rFonts w:cstheme="minorBidi"/>
          <w:color w:val="auto"/>
          <w:kern w:val="2"/>
          <w:szCs w:val="21"/>
          <w:highlight w:val="none"/>
        </w:rPr>
        <w:t>1</w:t>
      </w:r>
      <w:r>
        <w:rPr>
          <w:rFonts w:hint="default" w:cstheme="minorBidi"/>
          <w:color w:val="auto"/>
          <w:kern w:val="2"/>
          <w:szCs w:val="21"/>
          <w:highlight w:val="none"/>
        </w:rPr>
        <w:t xml:space="preserve">.4 </w:t>
      </w:r>
      <w:r>
        <w:rPr>
          <w:rFonts w:cstheme="minorBidi"/>
          <w:color w:val="auto"/>
          <w:kern w:val="2"/>
          <w:szCs w:val="21"/>
          <w:highlight w:val="none"/>
        </w:rPr>
        <w:t>招标范围：</w:t>
      </w:r>
    </w:p>
    <w:p>
      <w:pPr>
        <w:pStyle w:val="15"/>
        <w:spacing w:line="360" w:lineRule="auto"/>
        <w:ind w:firstLine="480" w:firstLineChars="200"/>
        <w:rPr>
          <w:rFonts w:hint="default" w:eastAsia="宋体"/>
          <w:szCs w:val="24"/>
          <w:highlight w:val="none"/>
          <w:lang w:val="en-US" w:eastAsia="zh-CN"/>
        </w:rPr>
      </w:pPr>
      <w:r>
        <w:rPr>
          <w:rFonts w:hint="eastAsia" w:hAnsiTheme="minorEastAsia"/>
          <w:szCs w:val="24"/>
          <w:highlight w:val="none"/>
          <w:lang w:val="en-US" w:eastAsia="zh-CN"/>
        </w:rPr>
        <w:t>针对</w:t>
      </w:r>
      <w:r>
        <w:rPr>
          <w:rFonts w:hAnsiTheme="minorEastAsia"/>
          <w:szCs w:val="24"/>
          <w:highlight w:val="none"/>
        </w:rPr>
        <w:t>盐城国丰</w:t>
      </w:r>
      <w:r>
        <w:rPr>
          <w:rFonts w:hint="eastAsia" w:hAnsiTheme="minorEastAsia"/>
          <w:szCs w:val="24"/>
          <w:highlight w:val="none"/>
          <w:lang w:val="en-US" w:eastAsia="zh-CN"/>
        </w:rPr>
        <w:t>海上</w:t>
      </w:r>
      <w:r>
        <w:rPr>
          <w:rFonts w:hAnsiTheme="minorEastAsia"/>
          <w:szCs w:val="24"/>
          <w:highlight w:val="none"/>
        </w:rPr>
        <w:t>风力发电有限公司</w:t>
      </w:r>
      <w:r>
        <w:rPr>
          <w:rFonts w:hint="eastAsia" w:hAnsi="Calibri"/>
          <w:highlight w:val="none"/>
          <w:lang w:val="en-US" w:eastAsia="zh-CN"/>
        </w:rPr>
        <w:t>12台变压器油质进行检测并出具报告；陆上集控中心4台设备油质检测由服务单位到场取样并在取样后24小时完成检测，海上升压站8台设备油质由甲方工作人员完成取样，提前告知服务单位抵达码头时间，服务单位安排工作人员接收油质样品，在接收油质样品后24小时完成检测；取样容器由投标人提供；12台变压器油质年中及年末各进行一次化验。</w:t>
      </w:r>
    </w:p>
    <w:p>
      <w:pPr>
        <w:pStyle w:val="15"/>
        <w:spacing w:line="360" w:lineRule="auto"/>
        <w:ind w:firstLine="480" w:firstLineChars="200"/>
        <w:rPr>
          <w:rFonts w:hint="default" w:cstheme="minorBidi"/>
          <w:color w:val="auto"/>
          <w:kern w:val="2"/>
          <w:szCs w:val="21"/>
          <w:highlight w:val="none"/>
        </w:rPr>
      </w:pPr>
      <w:r>
        <w:rPr>
          <w:szCs w:val="21"/>
          <w:highlight w:val="none"/>
        </w:rPr>
        <w:t>1.</w:t>
      </w:r>
      <w:r>
        <w:rPr>
          <w:rFonts w:hint="default"/>
          <w:szCs w:val="21"/>
          <w:highlight w:val="none"/>
        </w:rPr>
        <w:t>6</w:t>
      </w:r>
      <w:r>
        <w:rPr>
          <w:szCs w:val="21"/>
          <w:highlight w:val="none"/>
        </w:rPr>
        <w:t xml:space="preserve"> 质量要求：</w:t>
      </w:r>
      <w:r>
        <w:rPr>
          <w:highlight w:val="none"/>
          <w:shd w:val="clear" w:color="auto" w:fill="FFFFFF"/>
        </w:rPr>
        <w:t>合格，符合甲方及国家规范要求。</w:t>
      </w:r>
      <w:r>
        <w:rPr>
          <w:rFonts w:cstheme="minorBidi"/>
          <w:color w:val="auto"/>
          <w:kern w:val="2"/>
          <w:szCs w:val="21"/>
          <w:highlight w:val="none"/>
        </w:rPr>
        <w:t xml:space="preserve"> </w:t>
      </w:r>
    </w:p>
    <w:p>
      <w:pPr>
        <w:pStyle w:val="15"/>
        <w:spacing w:line="360" w:lineRule="auto"/>
        <w:ind w:firstLine="480" w:firstLineChars="200"/>
        <w:rPr>
          <w:rFonts w:hint="default" w:cstheme="minorBidi"/>
          <w:color w:val="auto"/>
          <w:kern w:val="2"/>
          <w:szCs w:val="21"/>
          <w:highlight w:val="none"/>
        </w:rPr>
      </w:pPr>
      <w:r>
        <w:rPr>
          <w:rFonts w:cstheme="minorBidi"/>
          <w:color w:val="auto"/>
          <w:kern w:val="2"/>
          <w:szCs w:val="21"/>
          <w:highlight w:val="none"/>
        </w:rPr>
        <w:t>1.</w:t>
      </w:r>
      <w:r>
        <w:rPr>
          <w:rFonts w:hint="default" w:cstheme="minorBidi"/>
          <w:color w:val="auto"/>
          <w:kern w:val="2"/>
          <w:szCs w:val="21"/>
          <w:highlight w:val="none"/>
        </w:rPr>
        <w:t xml:space="preserve">7 </w:t>
      </w:r>
      <w:r>
        <w:rPr>
          <w:rFonts w:cstheme="minorBidi"/>
          <w:color w:val="auto"/>
          <w:kern w:val="2"/>
          <w:szCs w:val="21"/>
          <w:highlight w:val="none"/>
        </w:rPr>
        <w:t>服务期限：</w:t>
      </w:r>
      <w:r>
        <w:rPr>
          <w:rFonts w:hint="eastAsia" w:cstheme="minorBidi"/>
          <w:color w:val="auto"/>
          <w:kern w:val="2"/>
          <w:szCs w:val="21"/>
          <w:highlight w:val="none"/>
          <w:lang w:val="en-US" w:eastAsia="zh-CN"/>
        </w:rPr>
        <w:t>每份油样需自投标人取得样品后24小时内进行油样化验</w:t>
      </w:r>
      <w:r>
        <w:rPr>
          <w:rFonts w:cs="宋体"/>
          <w:highlight w:val="none"/>
        </w:rPr>
        <w:t>。</w:t>
      </w:r>
      <w:r>
        <w:rPr>
          <w:rFonts w:cstheme="minorBidi"/>
          <w:color w:val="auto"/>
          <w:kern w:val="2"/>
          <w:szCs w:val="21"/>
          <w:highlight w:val="none"/>
        </w:rPr>
        <w:t xml:space="preserve"> </w:t>
      </w:r>
    </w:p>
    <w:p>
      <w:pPr>
        <w:spacing w:line="360" w:lineRule="auto"/>
        <w:ind w:firstLine="480"/>
        <w:rPr>
          <w:rFonts w:ascii="宋体" w:hAnsi="宋体" w:eastAsia="宋体"/>
          <w:sz w:val="24"/>
          <w:szCs w:val="21"/>
          <w:highlight w:val="none"/>
        </w:rPr>
      </w:pPr>
      <w:r>
        <w:rPr>
          <w:rFonts w:hint="eastAsia" w:ascii="宋体" w:hAnsi="宋体" w:eastAsia="宋体"/>
          <w:sz w:val="24"/>
          <w:szCs w:val="21"/>
          <w:highlight w:val="none"/>
        </w:rPr>
        <w:t>1.</w:t>
      </w:r>
      <w:r>
        <w:rPr>
          <w:rFonts w:ascii="宋体" w:hAnsi="宋体" w:eastAsia="宋体"/>
          <w:sz w:val="24"/>
          <w:szCs w:val="21"/>
          <w:highlight w:val="none"/>
        </w:rPr>
        <w:t xml:space="preserve">8 </w:t>
      </w:r>
      <w:r>
        <w:rPr>
          <w:rFonts w:hint="eastAsia" w:ascii="宋体" w:hAnsi="宋体" w:eastAsia="宋体"/>
          <w:sz w:val="24"/>
          <w:szCs w:val="21"/>
          <w:highlight w:val="none"/>
        </w:rPr>
        <w:t>本项目招标人确定的招标控制价：</w:t>
      </w:r>
      <w:r>
        <w:rPr>
          <w:rFonts w:hint="eastAsia" w:ascii="宋体" w:hAnsi="宋体" w:eastAsia="宋体"/>
          <w:sz w:val="24"/>
          <w:szCs w:val="21"/>
          <w:highlight w:val="none"/>
          <w:lang w:val="en-US" w:eastAsia="zh-CN"/>
        </w:rPr>
        <w:t>4.8</w:t>
      </w:r>
      <w:r>
        <w:rPr>
          <w:rFonts w:hint="eastAsia" w:ascii="宋体" w:hAnsi="宋体" w:eastAsia="宋体"/>
          <w:sz w:val="24"/>
          <w:szCs w:val="21"/>
          <w:highlight w:val="none"/>
        </w:rPr>
        <w:t>万元，招标人不接受高于招标控制价的投标报价。</w:t>
      </w:r>
    </w:p>
    <w:p>
      <w:pPr>
        <w:widowControl/>
        <w:spacing w:line="360" w:lineRule="auto"/>
        <w:jc w:val="left"/>
        <w:rPr>
          <w:rFonts w:ascii="宋体" w:hAnsi="宋体" w:eastAsia="宋体"/>
          <w:b/>
          <w:sz w:val="28"/>
          <w:highlight w:val="none"/>
        </w:rPr>
      </w:pPr>
      <w:r>
        <w:rPr>
          <w:rFonts w:hint="eastAsia" w:ascii="宋体" w:hAnsi="宋体" w:eastAsia="宋体"/>
          <w:b/>
          <w:sz w:val="28"/>
          <w:highlight w:val="none"/>
        </w:rPr>
        <w:t>二、</w:t>
      </w:r>
      <w:r>
        <w:rPr>
          <w:rFonts w:ascii="宋体" w:hAnsi="宋体" w:eastAsia="宋体"/>
          <w:b/>
          <w:sz w:val="28"/>
          <w:highlight w:val="none"/>
        </w:rPr>
        <w:t>投标人资格要求</w:t>
      </w:r>
    </w:p>
    <w:p>
      <w:pPr>
        <w:shd w:val="clear"/>
        <w:spacing w:line="360" w:lineRule="auto"/>
        <w:ind w:firstLine="480"/>
        <w:rPr>
          <w:rFonts w:ascii="宋体" w:hAnsi="宋体" w:eastAsia="宋体"/>
          <w:sz w:val="24"/>
          <w:szCs w:val="21"/>
          <w:highlight w:val="none"/>
        </w:rPr>
      </w:pPr>
      <w:r>
        <w:rPr>
          <w:rFonts w:ascii="宋体" w:hAnsi="宋体" w:eastAsia="宋体"/>
          <w:sz w:val="24"/>
          <w:szCs w:val="21"/>
          <w:highlight w:val="none"/>
        </w:rPr>
        <w:t>1、投标人资质和等级要求：投标申请人必须是依据中华人民共和国有关法律设立的，并在中华人民共和国正式注册的</w:t>
      </w:r>
      <w:r>
        <w:rPr>
          <w:rFonts w:hint="eastAsia" w:ascii="宋体" w:hAnsi="宋体" w:eastAsia="宋体"/>
          <w:sz w:val="24"/>
          <w:szCs w:val="21"/>
          <w:highlight w:val="none"/>
        </w:rPr>
        <w:t>独立法人企业</w:t>
      </w:r>
      <w:r>
        <w:rPr>
          <w:rFonts w:ascii="宋体" w:hAnsi="宋体" w:eastAsia="宋体"/>
          <w:sz w:val="24"/>
          <w:szCs w:val="21"/>
          <w:highlight w:val="none"/>
        </w:rPr>
        <w:t>。</w:t>
      </w:r>
    </w:p>
    <w:p>
      <w:pPr>
        <w:shd w:val="clear"/>
        <w:spacing w:line="360" w:lineRule="auto"/>
        <w:ind w:firstLine="480"/>
        <w:rPr>
          <w:rFonts w:ascii="宋体" w:hAnsi="宋体" w:eastAsia="宋体"/>
          <w:sz w:val="24"/>
          <w:szCs w:val="21"/>
          <w:highlight w:val="none"/>
        </w:rPr>
      </w:pPr>
      <w:r>
        <w:rPr>
          <w:rFonts w:hint="eastAsia" w:ascii="宋体" w:hAnsi="宋体" w:eastAsia="宋体"/>
          <w:sz w:val="24"/>
          <w:szCs w:val="21"/>
          <w:highlight w:val="none"/>
        </w:rPr>
        <w:t>2、投标人应具有</w:t>
      </w:r>
      <w:r>
        <w:rPr>
          <w:rFonts w:ascii="宋体" w:hAnsi="宋体" w:eastAsia="宋体"/>
          <w:sz w:val="24"/>
          <w:szCs w:val="21"/>
          <w:highlight w:val="none"/>
        </w:rPr>
        <w:t>CMA</w:t>
      </w:r>
      <w:r>
        <w:rPr>
          <w:rFonts w:hint="eastAsia" w:ascii="宋体" w:hAnsi="宋体" w:eastAsia="宋体"/>
          <w:sz w:val="24"/>
          <w:szCs w:val="21"/>
          <w:highlight w:val="none"/>
        </w:rPr>
        <w:t>认证证书（中国计量认证）</w:t>
      </w:r>
      <w:r>
        <w:rPr>
          <w:rFonts w:ascii="宋体" w:hAnsi="宋体" w:eastAsia="宋体"/>
          <w:sz w:val="24"/>
          <w:szCs w:val="21"/>
          <w:highlight w:val="none"/>
        </w:rPr>
        <w:t>。</w:t>
      </w:r>
    </w:p>
    <w:p>
      <w:pPr>
        <w:spacing w:line="360" w:lineRule="auto"/>
        <w:ind w:firstLine="480"/>
        <w:rPr>
          <w:rFonts w:ascii="宋体" w:hAnsi="宋体" w:eastAsia="宋体"/>
          <w:sz w:val="24"/>
          <w:szCs w:val="21"/>
        </w:rPr>
      </w:pPr>
      <w:r>
        <w:rPr>
          <w:rFonts w:ascii="宋体" w:hAnsi="宋体" w:eastAsia="宋体"/>
          <w:sz w:val="24"/>
          <w:szCs w:val="21"/>
        </w:rPr>
        <w:t>3、投标申请人须保证项目负责人、代理人及所有参与本项目维保人员均为本单位的正式职工，并确保从投标截止之日当月向前连续6个月均已在本单位缴纳养老保险；投标时无须提供证明材料，如有质疑或招标人要求，再按要求提供相关证明材料。</w:t>
      </w:r>
    </w:p>
    <w:p>
      <w:pPr>
        <w:spacing w:line="360" w:lineRule="auto"/>
        <w:ind w:firstLine="480"/>
        <w:rPr>
          <w:rFonts w:ascii="宋体" w:hAnsi="宋体" w:eastAsia="宋体"/>
          <w:sz w:val="24"/>
          <w:szCs w:val="21"/>
        </w:rPr>
      </w:pPr>
      <w:r>
        <w:rPr>
          <w:rFonts w:ascii="宋体" w:hAnsi="宋体" w:eastAsia="宋体"/>
          <w:sz w:val="24"/>
          <w:szCs w:val="21"/>
        </w:rPr>
        <w:t>4、本次招标不接受联合体投标。</w:t>
      </w:r>
    </w:p>
    <w:p>
      <w:pPr>
        <w:spacing w:line="360" w:lineRule="auto"/>
        <w:ind w:firstLine="480"/>
        <w:rPr>
          <w:rFonts w:ascii="宋体" w:hAnsi="宋体" w:eastAsia="宋体"/>
          <w:sz w:val="24"/>
          <w:szCs w:val="21"/>
        </w:rPr>
      </w:pPr>
      <w:r>
        <w:rPr>
          <w:rFonts w:ascii="宋体" w:hAnsi="宋体" w:eastAsia="宋体"/>
          <w:sz w:val="24"/>
          <w:szCs w:val="21"/>
        </w:rPr>
        <w:t>5、投标人没有被国家、江苏省省级有关部门及盐城市级有关部门暂停招投标或市场准入资格且在公示处罚期内。</w:t>
      </w:r>
    </w:p>
    <w:p>
      <w:pPr>
        <w:spacing w:line="360" w:lineRule="auto"/>
        <w:ind w:firstLine="480"/>
        <w:rPr>
          <w:rFonts w:ascii="宋体" w:hAnsi="宋体" w:eastAsia="宋体"/>
          <w:sz w:val="24"/>
          <w:szCs w:val="21"/>
        </w:rPr>
      </w:pPr>
      <w:r>
        <w:rPr>
          <w:rFonts w:ascii="宋体" w:hAnsi="宋体" w:eastAsia="宋体"/>
          <w:sz w:val="24"/>
          <w:szCs w:val="21"/>
        </w:rPr>
        <w:t>6、投标人须是未与招标人产生过解除合同及合同纠纷等行为的单位。</w:t>
      </w:r>
    </w:p>
    <w:p>
      <w:pPr>
        <w:spacing w:line="360" w:lineRule="auto"/>
        <w:ind w:firstLine="480"/>
        <w:rPr>
          <w:rFonts w:ascii="宋体" w:hAnsi="宋体" w:eastAsia="宋体"/>
          <w:sz w:val="24"/>
          <w:szCs w:val="21"/>
        </w:rPr>
      </w:pPr>
      <w:r>
        <w:rPr>
          <w:rFonts w:ascii="宋体" w:hAnsi="宋体" w:eastAsia="宋体"/>
          <w:sz w:val="24"/>
          <w:szCs w:val="21"/>
        </w:rPr>
        <w:t>7、本项目严禁挂靠。</w:t>
      </w:r>
    </w:p>
    <w:p>
      <w:pPr>
        <w:pStyle w:val="15"/>
        <w:rPr>
          <w:rFonts w:hint="default"/>
          <w:sz w:val="22"/>
          <w:szCs w:val="21"/>
        </w:rPr>
      </w:pPr>
    </w:p>
    <w:p>
      <w:pPr>
        <w:widowControl/>
        <w:spacing w:line="360" w:lineRule="auto"/>
        <w:jc w:val="left"/>
        <w:rPr>
          <w:rFonts w:ascii="宋体" w:hAnsi="宋体" w:eastAsia="宋体"/>
          <w:b/>
          <w:sz w:val="28"/>
        </w:rPr>
      </w:pPr>
      <w:r>
        <w:rPr>
          <w:rFonts w:hint="eastAsia" w:ascii="宋体" w:hAnsi="宋体" w:eastAsia="宋体"/>
          <w:b/>
          <w:sz w:val="28"/>
        </w:rPr>
        <w:t>三、投标报价</w:t>
      </w:r>
    </w:p>
    <w:p>
      <w:pPr>
        <w:spacing w:line="360" w:lineRule="auto"/>
        <w:ind w:firstLine="480"/>
        <w:rPr>
          <w:rFonts w:ascii="宋体" w:hAnsi="宋体" w:eastAsia="宋体"/>
          <w:sz w:val="24"/>
          <w:szCs w:val="21"/>
        </w:rPr>
      </w:pPr>
      <w:r>
        <w:rPr>
          <w:rFonts w:hint="eastAsia" w:ascii="宋体" w:hAnsi="宋体" w:eastAsia="宋体"/>
          <w:sz w:val="24"/>
          <w:szCs w:val="21"/>
        </w:rPr>
        <w:t>1、</w:t>
      </w:r>
      <w:r>
        <w:rPr>
          <w:rFonts w:ascii="宋体" w:hAnsi="宋体" w:eastAsia="宋体"/>
          <w:sz w:val="24"/>
          <w:szCs w:val="21"/>
        </w:rPr>
        <w:t>本项目采用固定</w:t>
      </w:r>
      <w:r>
        <w:rPr>
          <w:rFonts w:hint="eastAsia" w:ascii="宋体" w:hAnsi="宋体" w:eastAsia="宋体"/>
          <w:sz w:val="24"/>
          <w:szCs w:val="21"/>
        </w:rPr>
        <w:t>总价报价</w:t>
      </w:r>
      <w:r>
        <w:rPr>
          <w:rFonts w:ascii="宋体" w:hAnsi="宋体" w:eastAsia="宋体"/>
          <w:sz w:val="24"/>
          <w:szCs w:val="21"/>
        </w:rPr>
        <w:t>，</w:t>
      </w:r>
      <w:r>
        <w:rPr>
          <w:rFonts w:hint="eastAsia" w:ascii="宋体" w:hAnsi="宋体" w:eastAsia="宋体"/>
          <w:sz w:val="24"/>
          <w:szCs w:val="21"/>
        </w:rPr>
        <w:t>包括但不仅限于现场勘查、调查、资料搜集、前期准备、现场取样、计算分析、结果评价、人工、检验试验、通讯、陆上交通、食宿、差旅、利润、税金、管理费、配合费、不可预见费及其他一切相关费用等所需的全部费用，凡漏项或少计均视为优惠，甲方不另行增加费用。各类风险和政策性调整等风险已包括在合同价中，最终结算时除合同约定调整外一律不予调整</w:t>
      </w:r>
      <w:r>
        <w:rPr>
          <w:rFonts w:ascii="宋体" w:hAnsi="宋体" w:eastAsia="宋体"/>
          <w:sz w:val="24"/>
          <w:szCs w:val="21"/>
        </w:rPr>
        <w:t>。</w:t>
      </w:r>
    </w:p>
    <w:p>
      <w:pPr>
        <w:spacing w:line="360" w:lineRule="auto"/>
        <w:ind w:firstLine="480"/>
        <w:rPr>
          <w:rFonts w:ascii="宋体" w:hAnsi="宋体" w:eastAsia="宋体"/>
          <w:sz w:val="24"/>
          <w:szCs w:val="21"/>
        </w:rPr>
      </w:pPr>
      <w:r>
        <w:rPr>
          <w:rFonts w:hint="eastAsia" w:ascii="宋体" w:hAnsi="宋体" w:eastAsia="宋体"/>
          <w:sz w:val="24"/>
          <w:szCs w:val="21"/>
        </w:rPr>
        <w:t>2、本次招标方式为询价，评标办法为经评审的最低投标价法，投标报价即为最终报价，无二轮报价。若最终报价未达招标人要求，招标人有权重新组织询价。</w:t>
      </w:r>
    </w:p>
    <w:p>
      <w:pPr>
        <w:pStyle w:val="15"/>
        <w:rPr>
          <w:rFonts w:hint="default"/>
        </w:rPr>
      </w:pPr>
    </w:p>
    <w:p>
      <w:pPr>
        <w:widowControl/>
        <w:spacing w:line="360" w:lineRule="auto"/>
        <w:jc w:val="left"/>
        <w:rPr>
          <w:rFonts w:ascii="宋体" w:hAnsi="宋体" w:eastAsia="宋体"/>
          <w:b/>
          <w:sz w:val="28"/>
        </w:rPr>
      </w:pPr>
      <w:r>
        <w:rPr>
          <w:rFonts w:hint="eastAsia" w:ascii="宋体" w:hAnsi="宋体" w:eastAsia="宋体"/>
          <w:b/>
          <w:sz w:val="28"/>
        </w:rPr>
        <w:t>四、</w:t>
      </w:r>
      <w:r>
        <w:rPr>
          <w:rFonts w:ascii="宋体" w:hAnsi="宋体" w:eastAsia="宋体"/>
          <w:b/>
          <w:sz w:val="28"/>
        </w:rPr>
        <w:t>报价</w:t>
      </w:r>
      <w:r>
        <w:rPr>
          <w:rFonts w:hint="eastAsia" w:ascii="宋体" w:hAnsi="宋体" w:eastAsia="宋体"/>
          <w:b/>
          <w:sz w:val="28"/>
        </w:rPr>
        <w:t>文件要求</w:t>
      </w:r>
    </w:p>
    <w:p>
      <w:pPr>
        <w:spacing w:line="360" w:lineRule="auto"/>
        <w:ind w:firstLine="480" w:firstLineChars="200"/>
        <w:rPr>
          <w:rFonts w:ascii="宋体" w:hAnsi="宋体" w:eastAsia="宋体"/>
          <w:sz w:val="24"/>
          <w:szCs w:val="21"/>
        </w:rPr>
      </w:pPr>
      <w:r>
        <w:rPr>
          <w:rFonts w:hint="eastAsia" w:ascii="宋体" w:hAnsi="宋体" w:eastAsia="宋体"/>
          <w:sz w:val="24"/>
          <w:szCs w:val="21"/>
        </w:rPr>
        <w:t xml:space="preserve">1、 </w:t>
      </w:r>
      <w:r>
        <w:rPr>
          <w:rFonts w:hint="eastAsia" w:ascii="宋体" w:hAnsi="宋体" w:eastAsia="宋体"/>
          <w:sz w:val="24"/>
          <w:szCs w:val="21"/>
          <w:highlight w:val="yellow"/>
        </w:rPr>
        <w:t>请于</w:t>
      </w:r>
      <w:r>
        <w:rPr>
          <w:rFonts w:ascii="宋体" w:hAnsi="宋体" w:eastAsia="宋体"/>
          <w:sz w:val="24"/>
          <w:szCs w:val="21"/>
          <w:highlight w:val="yellow"/>
        </w:rPr>
        <w:t>202</w:t>
      </w:r>
      <w:r>
        <w:rPr>
          <w:rFonts w:hint="eastAsia" w:ascii="宋体" w:hAnsi="宋体" w:eastAsia="宋体"/>
          <w:sz w:val="24"/>
          <w:szCs w:val="21"/>
          <w:highlight w:val="yellow"/>
          <w:lang w:val="en-US" w:eastAsia="zh-CN"/>
        </w:rPr>
        <w:t>4</w:t>
      </w:r>
      <w:r>
        <w:rPr>
          <w:rFonts w:ascii="宋体" w:hAnsi="宋体" w:eastAsia="宋体"/>
          <w:sz w:val="24"/>
          <w:szCs w:val="21"/>
          <w:highlight w:val="yellow"/>
        </w:rPr>
        <w:t>年</w:t>
      </w:r>
      <w:r>
        <w:rPr>
          <w:rFonts w:hint="eastAsia" w:ascii="宋体" w:hAnsi="宋体" w:eastAsia="宋体"/>
          <w:sz w:val="24"/>
          <w:szCs w:val="21"/>
          <w:highlight w:val="yellow"/>
          <w:u w:val="single"/>
          <w:lang w:val="en-US" w:eastAsia="zh-CN"/>
        </w:rPr>
        <w:t xml:space="preserve"> 4 </w:t>
      </w:r>
      <w:r>
        <w:rPr>
          <w:rFonts w:ascii="宋体" w:hAnsi="宋体" w:eastAsia="宋体"/>
          <w:sz w:val="24"/>
          <w:szCs w:val="21"/>
          <w:highlight w:val="yellow"/>
        </w:rPr>
        <w:t>月</w:t>
      </w:r>
      <w:r>
        <w:rPr>
          <w:rFonts w:hint="eastAsia" w:ascii="宋体" w:hAnsi="宋体" w:eastAsia="宋体"/>
          <w:sz w:val="24"/>
          <w:szCs w:val="21"/>
          <w:highlight w:val="yellow"/>
          <w:u w:val="single"/>
          <w:lang w:val="en-US" w:eastAsia="zh-CN"/>
        </w:rPr>
        <w:t xml:space="preserve"> 19</w:t>
      </w:r>
      <w:bookmarkStart w:id="3" w:name="_GoBack"/>
      <w:bookmarkEnd w:id="3"/>
      <w:r>
        <w:rPr>
          <w:rFonts w:hint="eastAsia" w:ascii="宋体" w:hAnsi="宋体" w:eastAsia="宋体"/>
          <w:sz w:val="24"/>
          <w:szCs w:val="21"/>
          <w:highlight w:val="yellow"/>
          <w:u w:val="single"/>
          <w:lang w:val="en-US" w:eastAsia="zh-CN"/>
        </w:rPr>
        <w:t xml:space="preserve">  </w:t>
      </w:r>
      <w:r>
        <w:rPr>
          <w:rFonts w:ascii="宋体" w:hAnsi="宋体" w:eastAsia="宋体"/>
          <w:sz w:val="24"/>
          <w:szCs w:val="21"/>
          <w:highlight w:val="yellow"/>
        </w:rPr>
        <w:t>日</w:t>
      </w:r>
      <w:r>
        <w:rPr>
          <w:rFonts w:hint="eastAsia" w:ascii="宋体" w:hAnsi="宋体" w:eastAsia="宋体"/>
          <w:sz w:val="24"/>
          <w:szCs w:val="21"/>
          <w:highlight w:val="yellow"/>
        </w:rPr>
        <w:t>上午</w:t>
      </w:r>
      <w:r>
        <w:rPr>
          <w:rFonts w:ascii="宋体" w:hAnsi="宋体" w:eastAsia="宋体"/>
          <w:sz w:val="24"/>
          <w:szCs w:val="21"/>
          <w:highlight w:val="yellow"/>
        </w:rPr>
        <w:t>1</w:t>
      </w:r>
      <w:r>
        <w:rPr>
          <w:rFonts w:hint="eastAsia" w:ascii="宋体" w:hAnsi="宋体" w:eastAsia="宋体"/>
          <w:sz w:val="24"/>
          <w:szCs w:val="21"/>
          <w:highlight w:val="yellow"/>
          <w:lang w:val="en-US" w:eastAsia="zh-CN"/>
        </w:rPr>
        <w:t>2</w:t>
      </w:r>
      <w:r>
        <w:rPr>
          <w:rFonts w:hint="eastAsia" w:ascii="宋体" w:hAnsi="宋体" w:eastAsia="宋体"/>
          <w:sz w:val="24"/>
          <w:szCs w:val="21"/>
          <w:highlight w:val="yellow"/>
        </w:rPr>
        <w:t>：0</w:t>
      </w:r>
      <w:r>
        <w:rPr>
          <w:rFonts w:ascii="宋体" w:hAnsi="宋体" w:eastAsia="宋体"/>
          <w:sz w:val="24"/>
          <w:szCs w:val="21"/>
          <w:highlight w:val="yellow"/>
        </w:rPr>
        <w:t>0</w:t>
      </w:r>
      <w:r>
        <w:rPr>
          <w:rFonts w:hint="eastAsia" w:ascii="宋体" w:hAnsi="宋体" w:eastAsia="宋体"/>
          <w:sz w:val="24"/>
          <w:szCs w:val="21"/>
          <w:highlight w:val="yellow"/>
          <w:lang w:val="en-US" w:eastAsia="zh-CN"/>
        </w:rPr>
        <w:t>前</w:t>
      </w:r>
      <w:r>
        <w:rPr>
          <w:rFonts w:hint="eastAsia" w:ascii="宋体" w:hAnsi="宋体" w:eastAsia="宋体"/>
          <w:sz w:val="24"/>
          <w:szCs w:val="21"/>
        </w:rPr>
        <w:t>将报价文件（格式附后）密封送至下述地址</w:t>
      </w:r>
      <w:r>
        <w:rPr>
          <w:rFonts w:ascii="宋体" w:hAnsi="宋体" w:eastAsia="宋体"/>
          <w:sz w:val="24"/>
          <w:szCs w:val="21"/>
        </w:rPr>
        <w:t>。</w:t>
      </w:r>
      <w:r>
        <w:rPr>
          <w:rFonts w:hint="eastAsia" w:ascii="宋体" w:hAnsi="宋体" w:eastAsia="宋体"/>
          <w:sz w:val="24"/>
          <w:szCs w:val="21"/>
        </w:rPr>
        <w:t>所有投标文件资料一式三份。投标文件须按招标文件要求加盖投标人公章后密封；投标文件应装入投标文件封袋（封袋大小根据需要自行制作，正、副本及原件装在同一封袋内），并在封袋上正确标明项目名称、投标人名称。</w:t>
      </w:r>
    </w:p>
    <w:p>
      <w:pPr>
        <w:spacing w:line="360" w:lineRule="auto"/>
        <w:ind w:firstLine="480" w:firstLineChars="200"/>
        <w:rPr>
          <w:rFonts w:ascii="宋体" w:hAnsi="宋体" w:eastAsia="宋体"/>
          <w:color w:val="000000" w:themeColor="text1"/>
          <w:sz w:val="24"/>
          <w:szCs w:val="21"/>
          <w14:textFill>
            <w14:solidFill>
              <w14:schemeClr w14:val="tx1"/>
            </w14:solidFill>
          </w14:textFill>
        </w:rPr>
      </w:pPr>
      <w:r>
        <w:rPr>
          <w:rFonts w:hint="eastAsia" w:ascii="宋体" w:hAnsi="宋体" w:eastAsia="宋体"/>
          <w:sz w:val="24"/>
          <w:szCs w:val="21"/>
        </w:rPr>
        <w:t>2、</w:t>
      </w:r>
      <w:r>
        <w:rPr>
          <w:rFonts w:ascii="宋体" w:hAnsi="宋体" w:eastAsia="宋体"/>
          <w:sz w:val="24"/>
          <w:szCs w:val="21"/>
        </w:rPr>
        <w:t xml:space="preserve"> </w:t>
      </w:r>
      <w:r>
        <w:rPr>
          <w:rFonts w:hint="eastAsia" w:ascii="宋体" w:hAnsi="宋体" w:eastAsia="宋体"/>
          <w:sz w:val="24"/>
          <w:szCs w:val="21"/>
          <w:highlight w:val="yellow"/>
        </w:rPr>
        <w:t>报价文件接收</w:t>
      </w:r>
      <w:r>
        <w:rPr>
          <w:rFonts w:ascii="宋体" w:hAnsi="宋体" w:eastAsia="宋体"/>
          <w:color w:val="000000" w:themeColor="text1"/>
          <w:sz w:val="24"/>
          <w:szCs w:val="21"/>
          <w:highlight w:val="yellow"/>
          <w14:textFill>
            <w14:solidFill>
              <w14:schemeClr w14:val="tx1"/>
            </w14:solidFill>
          </w14:textFill>
        </w:rPr>
        <w:t>地点：</w:t>
      </w:r>
      <w:r>
        <w:rPr>
          <w:rFonts w:hint="eastAsia" w:ascii="宋体" w:hAnsi="宋体" w:eastAsia="宋体"/>
          <w:color w:val="000000" w:themeColor="text1"/>
          <w:sz w:val="24"/>
          <w:szCs w:val="21"/>
          <w:highlight w:val="yellow"/>
          <w14:textFill>
            <w14:solidFill>
              <w14:schemeClr w14:val="tx1"/>
            </w14:solidFill>
          </w14:textFill>
        </w:rPr>
        <w:t>盐城经济技术开发区五台山路1号科技绿洲1号楼4层</w:t>
      </w:r>
      <w:r>
        <w:rPr>
          <w:rFonts w:ascii="宋体" w:hAnsi="宋体" w:eastAsia="宋体"/>
          <w:color w:val="000000" w:themeColor="text1"/>
          <w:sz w:val="24"/>
          <w:szCs w:val="21"/>
          <w:highlight w:val="yellow"/>
          <w14:textFill>
            <w14:solidFill>
              <w14:schemeClr w14:val="tx1"/>
            </w14:solidFill>
          </w14:textFill>
        </w:rPr>
        <w:t>，联系</w:t>
      </w:r>
      <w:r>
        <w:rPr>
          <w:rFonts w:hint="eastAsia" w:ascii="宋体" w:hAnsi="宋体" w:eastAsia="宋体"/>
          <w:color w:val="000000" w:themeColor="text1"/>
          <w:sz w:val="24"/>
          <w:szCs w:val="21"/>
          <w:highlight w:val="yellow"/>
          <w14:textFill>
            <w14:solidFill>
              <w14:schemeClr w14:val="tx1"/>
            </w14:solidFill>
          </w14:textFill>
        </w:rPr>
        <w:t>方式</w:t>
      </w:r>
      <w:r>
        <w:rPr>
          <w:rFonts w:ascii="宋体" w:hAnsi="宋体" w:eastAsia="宋体"/>
          <w:color w:val="000000" w:themeColor="text1"/>
          <w:sz w:val="24"/>
          <w:szCs w:val="21"/>
          <w:highlight w:val="yellow"/>
          <w14:textFill>
            <w14:solidFill>
              <w14:schemeClr w14:val="tx1"/>
            </w14:solidFill>
          </w14:textFill>
        </w:rPr>
        <w:t>：</w:t>
      </w:r>
      <w:r>
        <w:rPr>
          <w:rFonts w:hint="eastAsia" w:ascii="宋体" w:hAnsi="宋体" w:eastAsia="宋体"/>
          <w:color w:val="000000" w:themeColor="text1"/>
          <w:sz w:val="24"/>
          <w:szCs w:val="21"/>
          <w:highlight w:val="yellow"/>
          <w14:textFill>
            <w14:solidFill>
              <w14:schemeClr w14:val="tx1"/>
            </w14:solidFill>
          </w14:textFill>
        </w:rPr>
        <w:t>秦工</w:t>
      </w:r>
      <w:r>
        <w:rPr>
          <w:rFonts w:ascii="宋体" w:hAnsi="宋体" w:eastAsia="宋体"/>
          <w:color w:val="000000" w:themeColor="text1"/>
          <w:sz w:val="24"/>
          <w:szCs w:val="21"/>
          <w:highlight w:val="yellow"/>
          <w14:textFill>
            <w14:solidFill>
              <w14:schemeClr w14:val="tx1"/>
            </w14:solidFill>
          </w14:textFill>
        </w:rPr>
        <w:t xml:space="preserve"> </w:t>
      </w:r>
      <w:r>
        <w:rPr>
          <w:highlight w:val="yellow"/>
        </w:rPr>
        <w:fldChar w:fldCharType="begin"/>
      </w:r>
      <w:r>
        <w:rPr>
          <w:highlight w:val="yellow"/>
        </w:rPr>
        <w:instrText xml:space="preserve"> HYPERLINK "mailto:0515-80551412。（疫情期间如无法递交，可将报价文件电子版及联系方式加密发送至邮箱1175685189@qq.com，并于2022年6月7日15：15前内发送解压密码至该邮箱。）" </w:instrText>
      </w:r>
      <w:r>
        <w:rPr>
          <w:highlight w:val="yellow"/>
        </w:rPr>
        <w:fldChar w:fldCharType="separate"/>
      </w:r>
      <w:r>
        <w:rPr>
          <w:rFonts w:hint="eastAsia" w:ascii="宋体" w:hAnsi="宋体" w:eastAsia="宋体"/>
          <w:color w:val="000000" w:themeColor="text1"/>
          <w:sz w:val="24"/>
          <w:szCs w:val="21"/>
          <w:highlight w:val="yellow"/>
          <w:lang w:val="en-US" w:eastAsia="zh-CN"/>
          <w14:textFill>
            <w14:solidFill>
              <w14:schemeClr w14:val="tx1"/>
            </w14:solidFill>
          </w14:textFill>
        </w:rPr>
        <w:t>15295373208</w:t>
      </w:r>
      <w:r>
        <w:rPr>
          <w:rFonts w:hint="eastAsia" w:ascii="宋体" w:hAnsi="宋体" w:eastAsia="宋体"/>
          <w:color w:val="000000" w:themeColor="text1"/>
          <w:sz w:val="24"/>
          <w:szCs w:val="21"/>
          <w:highlight w:val="yellow"/>
          <w14:textFill>
            <w14:solidFill>
              <w14:schemeClr w14:val="tx1"/>
            </w14:solidFill>
          </w14:textFill>
        </w:rPr>
        <w:t>。</w:t>
      </w:r>
      <w:r>
        <w:rPr>
          <w:rFonts w:hint="eastAsia" w:ascii="宋体" w:hAnsi="宋体" w:eastAsia="宋体"/>
          <w:color w:val="000000" w:themeColor="text1"/>
          <w:sz w:val="24"/>
          <w:szCs w:val="21"/>
          <w:highlight w:val="yellow"/>
          <w14:textFill>
            <w14:solidFill>
              <w14:schemeClr w14:val="tx1"/>
            </w14:solidFill>
          </w14:textFill>
        </w:rPr>
        <w:fldChar w:fldCharType="end"/>
      </w:r>
    </w:p>
    <w:p>
      <w:pPr>
        <w:spacing w:line="360" w:lineRule="auto"/>
        <w:ind w:firstLine="480" w:firstLineChars="200"/>
        <w:rPr>
          <w:rFonts w:ascii="宋体" w:hAnsi="宋体" w:eastAsia="宋体"/>
          <w:sz w:val="24"/>
          <w:szCs w:val="21"/>
        </w:rPr>
      </w:pPr>
      <w:r>
        <w:rPr>
          <w:rFonts w:hint="eastAsia" w:ascii="宋体" w:hAnsi="宋体" w:eastAsia="宋体"/>
          <w:sz w:val="24"/>
          <w:szCs w:val="21"/>
        </w:rPr>
        <w:t>3、投标人所提供的资料必须真实、齐全，如未按要求按时提供真实、齐全的有关资料，将导致资格审查不合格，由此造成的责任自负。</w:t>
      </w:r>
    </w:p>
    <w:p>
      <w:pPr>
        <w:spacing w:line="360" w:lineRule="auto"/>
        <w:ind w:firstLine="480" w:firstLineChars="200"/>
        <w:rPr>
          <w:rFonts w:ascii="宋体" w:hAnsi="宋体" w:eastAsia="宋体"/>
          <w:sz w:val="24"/>
          <w:szCs w:val="21"/>
        </w:rPr>
      </w:pPr>
      <w:r>
        <w:rPr>
          <w:rFonts w:ascii="宋体" w:hAnsi="宋体" w:eastAsia="宋体"/>
          <w:sz w:val="24"/>
          <w:szCs w:val="21"/>
        </w:rPr>
        <w:t>4、</w:t>
      </w:r>
      <w:r>
        <w:rPr>
          <w:rFonts w:hint="eastAsia" w:ascii="宋体" w:hAnsi="宋体" w:eastAsia="宋体"/>
          <w:sz w:val="24"/>
          <w:szCs w:val="21"/>
        </w:rPr>
        <w:t>各投标人应提供增值税专用发票并在报价中明确税率，若各投标人所标注税率不等，按除税价对比各家报价。</w:t>
      </w:r>
    </w:p>
    <w:p>
      <w:pPr>
        <w:spacing w:line="360" w:lineRule="auto"/>
        <w:ind w:firstLine="480" w:firstLineChars="200"/>
        <w:rPr>
          <w:rFonts w:ascii="宋体" w:hAnsi="宋体" w:eastAsia="宋体"/>
          <w:sz w:val="24"/>
          <w:szCs w:val="21"/>
        </w:rPr>
      </w:pPr>
      <w:r>
        <w:rPr>
          <w:rFonts w:ascii="宋体" w:hAnsi="宋体" w:eastAsia="宋体"/>
          <w:sz w:val="24"/>
          <w:szCs w:val="21"/>
        </w:rPr>
        <w:t>5、</w:t>
      </w:r>
      <w:r>
        <w:rPr>
          <w:rFonts w:hint="eastAsia" w:ascii="宋体" w:hAnsi="宋体" w:eastAsia="宋体"/>
          <w:sz w:val="24"/>
          <w:szCs w:val="21"/>
        </w:rPr>
        <w:t>付款方式：完成全部检测、出具检测报告经甲方验收合格后一次性支付款项</w:t>
      </w:r>
      <w:r>
        <w:rPr>
          <w:rFonts w:ascii="宋体" w:hAnsi="宋体" w:eastAsia="宋体"/>
          <w:sz w:val="24"/>
          <w:szCs w:val="21"/>
        </w:rPr>
        <w:t>。</w:t>
      </w:r>
    </w:p>
    <w:p>
      <w:pPr>
        <w:pStyle w:val="15"/>
        <w:rPr>
          <w:rFonts w:hint="default"/>
        </w:rPr>
      </w:pPr>
    </w:p>
    <w:p>
      <w:pPr>
        <w:widowControl/>
        <w:spacing w:line="360" w:lineRule="auto"/>
        <w:jc w:val="left"/>
        <w:rPr>
          <w:rFonts w:ascii="宋体" w:hAnsi="宋体" w:eastAsia="宋体"/>
          <w:b/>
          <w:sz w:val="28"/>
        </w:rPr>
      </w:pPr>
      <w:r>
        <w:rPr>
          <w:rFonts w:hint="eastAsia" w:ascii="宋体" w:hAnsi="宋体" w:eastAsia="宋体"/>
          <w:b/>
          <w:sz w:val="28"/>
        </w:rPr>
        <w:t>五、联系方式</w:t>
      </w:r>
    </w:p>
    <w:p>
      <w:pPr>
        <w:spacing w:line="360" w:lineRule="auto"/>
        <w:ind w:firstLine="480" w:firstLineChars="200"/>
        <w:rPr>
          <w:rFonts w:ascii="宋体" w:hAnsi="宋体" w:eastAsia="宋体"/>
          <w:sz w:val="24"/>
          <w:szCs w:val="21"/>
        </w:rPr>
      </w:pPr>
      <w:r>
        <w:rPr>
          <w:rFonts w:ascii="宋体" w:hAnsi="宋体" w:eastAsia="宋体"/>
          <w:sz w:val="24"/>
          <w:szCs w:val="21"/>
        </w:rPr>
        <w:t>地  址：</w:t>
      </w:r>
      <w:r>
        <w:rPr>
          <w:rFonts w:hint="eastAsia" w:ascii="宋体" w:hAnsi="宋体" w:eastAsia="宋体"/>
          <w:sz w:val="24"/>
          <w:szCs w:val="21"/>
        </w:rPr>
        <w:t>盐城经济技术开发区五台山路1号科技绿洲1号楼4层</w:t>
      </w:r>
    </w:p>
    <w:p>
      <w:pPr>
        <w:spacing w:line="360" w:lineRule="auto"/>
        <w:ind w:firstLine="480" w:firstLineChars="200"/>
        <w:rPr>
          <w:rFonts w:ascii="宋体" w:hAnsi="宋体" w:eastAsia="宋体"/>
          <w:sz w:val="24"/>
          <w:szCs w:val="21"/>
        </w:rPr>
      </w:pPr>
      <w:r>
        <w:rPr>
          <w:rFonts w:ascii="宋体" w:hAnsi="宋体" w:eastAsia="宋体"/>
          <w:sz w:val="24"/>
          <w:szCs w:val="21"/>
        </w:rPr>
        <w:t>联系人：</w:t>
      </w:r>
      <w:r>
        <w:rPr>
          <w:rFonts w:hint="eastAsia" w:ascii="宋体" w:hAnsi="宋体" w:eastAsia="宋体"/>
          <w:sz w:val="24"/>
          <w:szCs w:val="21"/>
        </w:rPr>
        <w:t>秦先生</w:t>
      </w:r>
      <w:r>
        <w:rPr>
          <w:rFonts w:ascii="宋体" w:hAnsi="宋体" w:eastAsia="宋体"/>
          <w:sz w:val="24"/>
          <w:szCs w:val="21"/>
        </w:rPr>
        <w:t xml:space="preserve">  </w:t>
      </w:r>
      <w:r>
        <w:rPr>
          <w:rFonts w:hint="eastAsia" w:ascii="宋体" w:hAnsi="宋体" w:eastAsia="宋体"/>
          <w:sz w:val="24"/>
          <w:szCs w:val="21"/>
          <w:lang w:val="en-US" w:eastAsia="zh-CN"/>
        </w:rPr>
        <w:t>15295373208</w:t>
      </w:r>
      <w:r>
        <w:rPr>
          <w:rFonts w:ascii="宋体" w:hAnsi="宋体" w:eastAsia="宋体"/>
          <w:sz w:val="24"/>
          <w:szCs w:val="21"/>
        </w:rPr>
        <w:t xml:space="preserve">  </w:t>
      </w:r>
    </w:p>
    <w:p>
      <w:pPr>
        <w:pStyle w:val="15"/>
        <w:rPr>
          <w:rFonts w:ascii="宋体" w:hAnsi="宋体" w:eastAsia="宋体"/>
          <w:sz w:val="24"/>
          <w:szCs w:val="21"/>
        </w:rPr>
      </w:pPr>
    </w:p>
    <w:p>
      <w:pPr>
        <w:rPr>
          <w:rFonts w:hint="eastAsia" w:cstheme="minorBidi"/>
          <w:b/>
          <w:bCs/>
          <w:color w:val="auto"/>
          <w:kern w:val="2"/>
          <w:sz w:val="28"/>
          <w:szCs w:val="22"/>
          <w:lang w:val="en-US" w:eastAsia="zh-CN"/>
        </w:rPr>
      </w:pPr>
      <w:r>
        <w:rPr>
          <w:rFonts w:hint="eastAsia" w:cstheme="minorBidi"/>
          <w:b/>
          <w:bCs/>
          <w:color w:val="auto"/>
          <w:kern w:val="2"/>
          <w:sz w:val="28"/>
          <w:szCs w:val="22"/>
          <w:lang w:val="en-US" w:eastAsia="zh-CN"/>
        </w:rPr>
        <w:br w:type="page"/>
      </w:r>
    </w:p>
    <w:p>
      <w:pPr>
        <w:pStyle w:val="15"/>
        <w:rPr>
          <w:rFonts w:hint="default" w:eastAsia="宋体" w:cstheme="minorBidi"/>
          <w:color w:val="auto"/>
          <w:kern w:val="2"/>
          <w:szCs w:val="21"/>
          <w:lang w:val="en-US" w:eastAsia="zh-CN"/>
        </w:rPr>
      </w:pPr>
      <w:r>
        <w:rPr>
          <w:rFonts w:hint="eastAsia" w:cstheme="minorBidi"/>
          <w:b/>
          <w:bCs/>
          <w:color w:val="auto"/>
          <w:kern w:val="2"/>
          <w:sz w:val="28"/>
          <w:szCs w:val="22"/>
          <w:lang w:val="en-US" w:eastAsia="zh-CN"/>
        </w:rPr>
        <w:t>附件一：投标报价格式</w:t>
      </w:r>
    </w:p>
    <w:p>
      <w:pPr>
        <w:pStyle w:val="15"/>
        <w:jc w:val="center"/>
        <w:rPr>
          <w:b/>
          <w:sz w:val="44"/>
        </w:rPr>
      </w:pPr>
    </w:p>
    <w:p>
      <w:pPr>
        <w:pStyle w:val="15"/>
        <w:jc w:val="center"/>
        <w:rPr>
          <w:b/>
          <w:sz w:val="40"/>
          <w:szCs w:val="21"/>
        </w:rPr>
      </w:pPr>
    </w:p>
    <w:p>
      <w:pPr>
        <w:pStyle w:val="15"/>
        <w:jc w:val="center"/>
        <w:rPr>
          <w:rFonts w:hint="default"/>
          <w:b/>
          <w:sz w:val="40"/>
          <w:szCs w:val="21"/>
        </w:rPr>
      </w:pPr>
      <w:r>
        <w:rPr>
          <w:rFonts w:hint="eastAsia"/>
          <w:b/>
          <w:sz w:val="40"/>
          <w:szCs w:val="21"/>
        </w:rPr>
        <w:t>盐城国丰海上风力发电有限公司</w:t>
      </w:r>
    </w:p>
    <w:p>
      <w:pPr>
        <w:pStyle w:val="15"/>
        <w:jc w:val="center"/>
        <w:rPr>
          <w:rFonts w:hint="default" w:cstheme="minorBidi"/>
          <w:color w:val="FF0000"/>
          <w:kern w:val="2"/>
          <w:sz w:val="32"/>
          <w:szCs w:val="21"/>
        </w:rPr>
      </w:pPr>
      <w:r>
        <w:rPr>
          <w:rFonts w:hint="eastAsia"/>
          <w:b/>
          <w:sz w:val="40"/>
          <w:szCs w:val="21"/>
          <w:lang w:val="en-US" w:eastAsia="zh-CN"/>
        </w:rPr>
        <w:t>2024年度变压器油质化验</w:t>
      </w:r>
      <w:r>
        <w:rPr>
          <w:b/>
          <w:sz w:val="40"/>
          <w:szCs w:val="21"/>
        </w:rPr>
        <w:t>服务</w:t>
      </w:r>
    </w:p>
    <w:p>
      <w:pPr>
        <w:pStyle w:val="15"/>
        <w:rPr>
          <w:rFonts w:hint="default" w:cstheme="minorBidi"/>
          <w:color w:val="FF0000"/>
          <w:kern w:val="2"/>
          <w:szCs w:val="21"/>
        </w:rPr>
      </w:pPr>
    </w:p>
    <w:p>
      <w:pPr>
        <w:pStyle w:val="15"/>
        <w:rPr>
          <w:rFonts w:hint="default" w:cstheme="minorBidi"/>
          <w:color w:val="FF0000"/>
          <w:kern w:val="2"/>
          <w:szCs w:val="21"/>
        </w:rPr>
      </w:pPr>
    </w:p>
    <w:p>
      <w:pPr>
        <w:pStyle w:val="15"/>
        <w:rPr>
          <w:rFonts w:hint="default" w:cstheme="minorBidi"/>
          <w:color w:val="FF0000"/>
          <w:kern w:val="2"/>
          <w:szCs w:val="21"/>
        </w:rPr>
      </w:pPr>
    </w:p>
    <w:p>
      <w:pPr>
        <w:pStyle w:val="15"/>
        <w:rPr>
          <w:rFonts w:hint="default" w:cstheme="minorBidi"/>
          <w:color w:val="FF0000"/>
          <w:kern w:val="2"/>
          <w:szCs w:val="21"/>
        </w:rPr>
      </w:pPr>
    </w:p>
    <w:p>
      <w:pPr>
        <w:pStyle w:val="15"/>
        <w:rPr>
          <w:rFonts w:hint="default" w:cstheme="minorBidi"/>
          <w:color w:val="FF0000"/>
          <w:kern w:val="2"/>
          <w:szCs w:val="21"/>
        </w:rPr>
      </w:pPr>
    </w:p>
    <w:p>
      <w:pPr>
        <w:pStyle w:val="15"/>
        <w:rPr>
          <w:rFonts w:hint="default" w:cstheme="minorBidi"/>
          <w:color w:val="FF0000"/>
          <w:kern w:val="2"/>
          <w:szCs w:val="21"/>
        </w:rPr>
      </w:pPr>
    </w:p>
    <w:p>
      <w:pPr>
        <w:pStyle w:val="15"/>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pPr>
        <w:pStyle w:val="15"/>
        <w:jc w:val="center"/>
        <w:rPr>
          <w:rFonts w:hint="default" w:cstheme="minorBidi"/>
          <w:color w:val="000000" w:themeColor="text1"/>
          <w:kern w:val="2"/>
          <w:sz w:val="56"/>
          <w:szCs w:val="21"/>
          <w14:textFill>
            <w14:solidFill>
              <w14:schemeClr w14:val="tx1"/>
            </w14:solidFill>
          </w14:textFill>
        </w:rPr>
      </w:pPr>
    </w:p>
    <w:p>
      <w:pPr>
        <w:pStyle w:val="15"/>
        <w:jc w:val="center"/>
        <w:rPr>
          <w:rFonts w:hint="default" w:cstheme="minorBidi"/>
          <w:color w:val="000000" w:themeColor="text1"/>
          <w:kern w:val="2"/>
          <w:sz w:val="56"/>
          <w:szCs w:val="21"/>
          <w14:textFill>
            <w14:solidFill>
              <w14:schemeClr w14:val="tx1"/>
            </w14:solidFill>
          </w14:textFill>
        </w:rPr>
      </w:pPr>
    </w:p>
    <w:p>
      <w:pPr>
        <w:pStyle w:val="15"/>
        <w:jc w:val="center"/>
        <w:rPr>
          <w:rFonts w:hint="default" w:cstheme="minorBidi"/>
          <w:color w:val="000000" w:themeColor="text1"/>
          <w:kern w:val="2"/>
          <w:sz w:val="56"/>
          <w:szCs w:val="21"/>
          <w14:textFill>
            <w14:solidFill>
              <w14:schemeClr w14:val="tx1"/>
            </w14:solidFill>
          </w14:textFill>
        </w:rPr>
      </w:pPr>
    </w:p>
    <w:p>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15"/>
        <w:rPr>
          <w:rFonts w:hint="default" w:cstheme="minorBidi"/>
          <w:color w:val="FF0000"/>
          <w:kern w:val="2"/>
          <w:szCs w:val="21"/>
        </w:rPr>
      </w:pPr>
    </w:p>
    <w:p>
      <w:pPr>
        <w:widowControl/>
        <w:jc w:val="left"/>
        <w:rPr>
          <w:rFonts w:ascii="宋体" w:hAnsi="宋体" w:eastAsia="宋体"/>
          <w:color w:val="FF0000"/>
          <w:sz w:val="28"/>
        </w:rPr>
      </w:pPr>
      <w:r>
        <w:rPr>
          <w:rFonts w:ascii="宋体" w:hAnsi="宋体" w:eastAsia="宋体"/>
          <w:color w:val="FF0000"/>
          <w:sz w:val="28"/>
        </w:rPr>
        <w:br w:type="page"/>
      </w:r>
    </w:p>
    <w:p>
      <w:pPr>
        <w:widowControl/>
        <w:spacing w:after="312" w:afterLines="100"/>
        <w:jc w:val="left"/>
        <w:rPr>
          <w:rFonts w:ascii="宋体" w:hAnsi="宋体" w:eastAsia="宋体"/>
          <w:b/>
        </w:rPr>
      </w:pPr>
      <w:r>
        <w:rPr>
          <w:rFonts w:hint="eastAsia" w:ascii="宋体" w:hAnsi="宋体" w:eastAsia="宋体"/>
          <w:b/>
        </w:rPr>
        <w:t>附件1：</w:t>
      </w:r>
    </w:p>
    <w:p>
      <w:pPr>
        <w:pStyle w:val="23"/>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pPr>
        <w:pStyle w:val="23"/>
        <w:widowControl/>
        <w:spacing w:line="410" w:lineRule="atLeast"/>
        <w:jc w:val="center"/>
        <w:rPr>
          <w:rFonts w:ascii="宋体" w:hAnsi="宋体" w:cs="宋体"/>
          <w:b/>
          <w:bCs/>
          <w:kern w:val="0"/>
          <w:sz w:val="24"/>
          <w:szCs w:val="44"/>
        </w:rPr>
      </w:pPr>
    </w:p>
    <w:p>
      <w:pPr>
        <w:pStyle w:val="23"/>
        <w:widowControl/>
        <w:spacing w:line="360" w:lineRule="auto"/>
        <w:jc w:val="left"/>
        <w:rPr>
          <w:rFonts w:ascii="宋体" w:hAnsi="宋体" w:cs="宋体"/>
          <w:kern w:val="0"/>
          <w:sz w:val="24"/>
        </w:rPr>
      </w:pPr>
      <w:r>
        <w:rPr>
          <w:rFonts w:hint="eastAsia" w:ascii="宋体" w:hAnsi="宋体"/>
          <w:sz w:val="24"/>
          <w:szCs w:val="21"/>
          <w:u w:val="single"/>
        </w:rPr>
        <w:t>盐城国丰海上风力发电有限公司</w:t>
      </w:r>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ab/>
      </w:r>
    </w:p>
    <w:p>
      <w:pPr>
        <w:pStyle w:val="23"/>
        <w:widowControl/>
        <w:numPr>
          <w:ilvl w:val="0"/>
          <w:numId w:val="1"/>
        </w:numPr>
        <w:spacing w:line="360" w:lineRule="auto"/>
        <w:rPr>
          <w:rFonts w:cs="宋体"/>
        </w:rPr>
      </w:pPr>
      <w:r>
        <w:rPr>
          <w:rFonts w:ascii="宋体" w:hAnsi="宋体" w:cs="宋体"/>
          <w:kern w:val="0"/>
          <w:sz w:val="24"/>
        </w:rPr>
        <w:t>根据已收到的</w:t>
      </w:r>
      <w:r>
        <w:rPr>
          <w:rFonts w:ascii="宋体" w:hAnsi="宋体" w:cs="宋体"/>
          <w:kern w:val="0"/>
          <w:sz w:val="24"/>
          <w:u w:val="single"/>
        </w:rPr>
        <w:t xml:space="preserve"> </w:t>
      </w:r>
      <w:r>
        <w:rPr>
          <w:rFonts w:hint="eastAsia" w:ascii="宋体" w:hAnsi="宋体" w:cs="宋体"/>
          <w:kern w:val="0"/>
          <w:sz w:val="24"/>
          <w:u w:val="single"/>
        </w:rPr>
        <w:t>盐城国丰海上风力发电有限公司</w:t>
      </w:r>
      <w:r>
        <w:rPr>
          <w:rFonts w:hint="eastAsia" w:ascii="宋体" w:hAnsi="宋体" w:cs="宋体"/>
          <w:kern w:val="0"/>
          <w:sz w:val="24"/>
          <w:u w:val="single"/>
          <w:lang w:val="en-US" w:eastAsia="zh-CN"/>
        </w:rPr>
        <w:t>2024年度</w:t>
      </w:r>
      <w:r>
        <w:rPr>
          <w:rFonts w:hint="eastAsia" w:ascii="宋体" w:hAnsi="宋体" w:cs="宋体"/>
          <w:kern w:val="0"/>
          <w:sz w:val="24"/>
          <w:u w:val="single"/>
          <w:lang w:eastAsia="zh-CN"/>
        </w:rPr>
        <w:t>变压器油质化验</w:t>
      </w:r>
      <w:r>
        <w:rPr>
          <w:rFonts w:ascii="宋体" w:hAnsi="宋体" w:cs="宋体"/>
          <w:kern w:val="0"/>
          <w:sz w:val="24"/>
          <w:u w:val="single"/>
        </w:rPr>
        <w:t xml:space="preserve">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rPr>
        <w:t>人民币</w:t>
      </w:r>
      <w:r>
        <w:rPr>
          <w:rFonts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ascii="宋体" w:hAnsi="宋体" w:cs="宋体"/>
          <w:kern w:val="0"/>
          <w:sz w:val="24"/>
          <w:u w:val="single"/>
        </w:rPr>
        <w:t xml:space="preserve">    </w:t>
      </w:r>
      <w:r>
        <w:rPr>
          <w:rFonts w:ascii="宋体" w:hAnsi="宋体" w:cs="宋体"/>
          <w:kern w:val="0"/>
          <w:sz w:val="24"/>
        </w:rPr>
        <w:t>承担本工程招标范围内的</w:t>
      </w:r>
      <w:r>
        <w:rPr>
          <w:rFonts w:hint="eastAsia" w:ascii="宋体" w:hAnsi="宋体" w:cs="宋体"/>
          <w:kern w:val="0"/>
          <w:sz w:val="24"/>
        </w:rPr>
        <w:t>全部</w:t>
      </w:r>
      <w:r>
        <w:rPr>
          <w:rFonts w:ascii="宋体" w:hAnsi="宋体" w:cs="宋体"/>
          <w:kern w:val="0"/>
          <w:sz w:val="24"/>
        </w:rPr>
        <w:t>服务。</w:t>
      </w:r>
    </w:p>
    <w:tbl>
      <w:tblPr>
        <w:tblStyle w:val="10"/>
        <w:tblW w:w="9899" w:type="dxa"/>
        <w:jc w:val="center"/>
        <w:tblLayout w:type="fixed"/>
        <w:tblCellMar>
          <w:top w:w="0" w:type="dxa"/>
          <w:left w:w="108" w:type="dxa"/>
          <w:bottom w:w="0" w:type="dxa"/>
          <w:right w:w="108" w:type="dxa"/>
        </w:tblCellMar>
      </w:tblPr>
      <w:tblGrid>
        <w:gridCol w:w="657"/>
        <w:gridCol w:w="5176"/>
        <w:gridCol w:w="1652"/>
        <w:gridCol w:w="2414"/>
      </w:tblGrid>
      <w:tr>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24"/>
              <w:jc w:val="center"/>
            </w:pPr>
            <w:r>
              <w:t>序号</w:t>
            </w:r>
          </w:p>
        </w:tc>
        <w:tc>
          <w:tcPr>
            <w:tcW w:w="5175" w:type="dxa"/>
            <w:tcBorders>
              <w:top w:val="single" w:color="000000" w:sz="4" w:space="0"/>
              <w:left w:val="single" w:color="000000" w:sz="4" w:space="0"/>
              <w:bottom w:val="single" w:color="000000" w:sz="4" w:space="0"/>
              <w:right w:val="single" w:color="000000" w:sz="4" w:space="0"/>
            </w:tcBorders>
            <w:vAlign w:val="center"/>
          </w:tcPr>
          <w:p>
            <w:pPr>
              <w:pStyle w:val="24"/>
              <w:jc w:val="center"/>
            </w:pPr>
            <w:r>
              <w:rPr>
                <w:rFonts w:hint="eastAsia"/>
              </w:rPr>
              <w:t>服务内容</w:t>
            </w:r>
          </w:p>
        </w:tc>
        <w:tc>
          <w:tcPr>
            <w:tcW w:w="1652" w:type="dxa"/>
            <w:tcBorders>
              <w:top w:val="single" w:color="000000" w:sz="4" w:space="0"/>
              <w:left w:val="single" w:color="000000" w:sz="4" w:space="0"/>
              <w:bottom w:val="single" w:color="000000" w:sz="4" w:space="0"/>
              <w:right w:val="single" w:color="000000" w:sz="4" w:space="0"/>
            </w:tcBorders>
            <w:vAlign w:val="center"/>
          </w:tcPr>
          <w:p>
            <w:pPr>
              <w:pStyle w:val="24"/>
              <w:jc w:val="center"/>
            </w:pPr>
            <w:r>
              <w:rPr>
                <w:rFonts w:hint="eastAsia"/>
              </w:rPr>
              <w:t>投标报价（元）</w:t>
            </w: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24"/>
              <w:jc w:val="center"/>
            </w:pPr>
            <w:r>
              <w:t>备注</w:t>
            </w:r>
          </w:p>
        </w:tc>
      </w:tr>
      <w:tr>
        <w:tblPrEx>
          <w:tblCellMar>
            <w:top w:w="0" w:type="dxa"/>
            <w:left w:w="108" w:type="dxa"/>
            <w:bottom w:w="0" w:type="dxa"/>
            <w:right w:w="108" w:type="dxa"/>
          </w:tblCellMar>
        </w:tblPrEx>
        <w:trPr>
          <w:trHeight w:val="1237"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24"/>
              <w:jc w:val="center"/>
            </w:pPr>
            <w:r>
              <w:t>1</w:t>
            </w:r>
          </w:p>
        </w:tc>
        <w:tc>
          <w:tcPr>
            <w:tcW w:w="5175" w:type="dxa"/>
            <w:tcBorders>
              <w:top w:val="single" w:color="000000" w:sz="4" w:space="0"/>
              <w:left w:val="single" w:color="000000" w:sz="4" w:space="0"/>
              <w:bottom w:val="single" w:color="000000" w:sz="4" w:space="0"/>
              <w:right w:val="single" w:color="000000" w:sz="4" w:space="0"/>
            </w:tcBorders>
            <w:vAlign w:val="center"/>
          </w:tcPr>
          <w:p>
            <w:pPr>
              <w:pStyle w:val="24"/>
              <w:jc w:val="center"/>
              <w:rPr>
                <w:rFonts w:hint="eastAsia" w:eastAsia="宋体"/>
                <w:lang w:eastAsia="zh-CN"/>
              </w:rPr>
            </w:pPr>
            <w:r>
              <w:rPr>
                <w:rFonts w:hint="eastAsia" w:ascii="宋体" w:hAnsi="宋体" w:cs="宋体"/>
                <w:kern w:val="0"/>
                <w:sz w:val="24"/>
                <w:lang w:eastAsia="zh-CN"/>
              </w:rPr>
              <w:t>变压器油质化验</w:t>
            </w:r>
          </w:p>
        </w:tc>
        <w:tc>
          <w:tcPr>
            <w:tcW w:w="1652" w:type="dxa"/>
            <w:tcBorders>
              <w:top w:val="single" w:color="000000" w:sz="4" w:space="0"/>
              <w:left w:val="single" w:color="000000" w:sz="4" w:space="0"/>
              <w:bottom w:val="single" w:color="000000" w:sz="4" w:space="0"/>
              <w:right w:val="single" w:color="000000" w:sz="4" w:space="0"/>
            </w:tcBorders>
            <w:vAlign w:val="center"/>
          </w:tcPr>
          <w:p>
            <w:pPr>
              <w:pStyle w:val="23"/>
              <w:snapToGrid w:val="0"/>
              <w:spacing w:line="360" w:lineRule="auto"/>
              <w:jc w:val="center"/>
              <w:rPr>
                <w:rFonts w:ascii="宋体" w:hAnsi="宋体" w:cs="宋体"/>
                <w:kern w:val="0"/>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24"/>
            </w:pPr>
            <w:r>
              <w:t>发票类型：</w:t>
            </w:r>
          </w:p>
          <w:p>
            <w:pPr>
              <w:pStyle w:val="24"/>
              <w:jc w:val="left"/>
              <w:rPr>
                <w:u w:val="single"/>
              </w:rPr>
            </w:pPr>
            <w:r>
              <w:rPr>
                <w:rFonts w:ascii="Wingdings 2;Wingdings" w:hAnsi="Wingdings 2;Wingdings" w:eastAsia="Wingdings 2;Wingdings" w:cs="Wingdings 2;Wingdings"/>
              </w:rPr>
              <w:sym w:font="Wingdings 2" w:char="0052"/>
            </w:r>
            <w:r>
              <w:t>专票，税率</w:t>
            </w:r>
            <w:r>
              <w:rPr>
                <w:rFonts w:eastAsia="Times New Roman"/>
                <w:u w:val="single"/>
              </w:rPr>
              <w:t xml:space="preserve"> </w:t>
            </w:r>
            <w:r>
              <w:rPr>
                <w:u w:val="single"/>
              </w:rPr>
              <w:t xml:space="preserve">   %</w:t>
            </w:r>
          </w:p>
        </w:tc>
      </w:tr>
      <w:tr>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24"/>
              <w:snapToGrid w:val="0"/>
              <w:jc w:val="center"/>
              <w:rPr>
                <w:u w:val="single"/>
              </w:rPr>
            </w:pPr>
          </w:p>
        </w:tc>
        <w:tc>
          <w:tcPr>
            <w:tcW w:w="5175" w:type="dxa"/>
            <w:tcBorders>
              <w:top w:val="single" w:color="000000" w:sz="4" w:space="0"/>
              <w:left w:val="single" w:color="000000" w:sz="4" w:space="0"/>
              <w:bottom w:val="single" w:color="000000" w:sz="4" w:space="0"/>
              <w:right w:val="single" w:color="000000" w:sz="4" w:space="0"/>
            </w:tcBorders>
            <w:vAlign w:val="center"/>
          </w:tcPr>
          <w:p>
            <w:pPr>
              <w:pStyle w:val="24"/>
              <w:jc w:val="center"/>
              <w:rPr>
                <w:sz w:val="24"/>
              </w:rPr>
            </w:pPr>
            <w:r>
              <w:rPr>
                <w:sz w:val="24"/>
              </w:rPr>
              <w:t>合计</w:t>
            </w:r>
          </w:p>
        </w:tc>
        <w:tc>
          <w:tcPr>
            <w:tcW w:w="1652" w:type="dxa"/>
            <w:tcBorders>
              <w:top w:val="single" w:color="000000" w:sz="4" w:space="0"/>
              <w:left w:val="single" w:color="000000" w:sz="4" w:space="0"/>
              <w:bottom w:val="single" w:color="000000" w:sz="4" w:space="0"/>
              <w:right w:val="single" w:color="000000" w:sz="4" w:space="0"/>
            </w:tcBorders>
            <w:vAlign w:val="center"/>
          </w:tcPr>
          <w:p>
            <w:pPr>
              <w:pStyle w:val="24"/>
              <w:snapToGrid w:val="0"/>
              <w:jc w:val="center"/>
              <w:rPr>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24"/>
              <w:snapToGrid w:val="0"/>
              <w:jc w:val="center"/>
            </w:pPr>
          </w:p>
        </w:tc>
      </w:tr>
    </w:tbl>
    <w:p>
      <w:pPr>
        <w:pStyle w:val="23"/>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pPr>
        <w:pStyle w:val="23"/>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pPr>
        <w:pStyle w:val="23"/>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pPr>
        <w:pStyle w:val="23"/>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pPr>
        <w:pStyle w:val="23"/>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pPr>
        <w:pStyle w:val="23"/>
        <w:widowControl/>
        <w:spacing w:line="400" w:lineRule="exact"/>
        <w:jc w:val="left"/>
        <w:rPr>
          <w:rFonts w:ascii="宋体" w:hAnsi="宋体" w:cs="宋体"/>
          <w:kern w:val="0"/>
          <w:sz w:val="24"/>
        </w:rPr>
      </w:pPr>
      <w:r>
        <w:rPr>
          <w:rFonts w:hint="eastAsia" w:ascii="宋体" w:hAnsi="宋体" w:cs="宋体"/>
          <w:kern w:val="0"/>
          <w:sz w:val="24"/>
        </w:rPr>
        <w:t>7、本次报价完成响应询价文件所约定服务内容。</w:t>
      </w:r>
    </w:p>
    <w:p>
      <w:pPr>
        <w:pStyle w:val="23"/>
        <w:widowControl/>
        <w:spacing w:line="400" w:lineRule="exact"/>
        <w:jc w:val="left"/>
        <w:rPr>
          <w:rFonts w:ascii="宋体" w:hAnsi="宋体" w:cs="宋体"/>
          <w:kern w:val="0"/>
          <w:sz w:val="24"/>
        </w:rPr>
      </w:pPr>
    </w:p>
    <w:p>
      <w:pPr>
        <w:pStyle w:val="23"/>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pPr>
        <w:pStyle w:val="23"/>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pPr>
        <w:pStyle w:val="23"/>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pPr>
        <w:widowControl/>
        <w:jc w:val="left"/>
        <w:rPr>
          <w:rFonts w:ascii="宋体" w:hAnsi="宋体" w:eastAsia="宋体"/>
          <w:sz w:val="28"/>
        </w:rPr>
      </w:pPr>
      <w:r>
        <w:rPr>
          <w:rFonts w:ascii="宋体" w:hAnsi="宋体" w:cs="宋体"/>
          <w:kern w:val="0"/>
          <w:sz w:val="24"/>
        </w:rPr>
        <w:t>日        期：</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日</w:t>
      </w:r>
    </w:p>
    <w:p>
      <w:pPr>
        <w:rPr>
          <w:rFonts w:ascii="宋体" w:hAnsi="宋体" w:cs="宋体"/>
          <w:b/>
          <w:bCs/>
          <w:sz w:val="24"/>
        </w:rPr>
      </w:pPr>
    </w:p>
    <w:p>
      <w:pPr>
        <w:rPr>
          <w:rFonts w:ascii="宋体" w:hAnsi="宋体" w:cs="宋体"/>
          <w:b/>
          <w:bCs/>
          <w:sz w:val="24"/>
        </w:rPr>
      </w:pPr>
    </w:p>
    <w:p>
      <w:pPr>
        <w:rPr>
          <w:rFonts w:hint="eastAsia" w:ascii="宋体" w:hAnsi="宋体" w:cs="宋体"/>
          <w:b/>
          <w:bCs/>
          <w:sz w:val="24"/>
        </w:rPr>
      </w:pPr>
    </w:p>
    <w:p>
      <w:pPr>
        <w:rPr>
          <w:rFonts w:ascii="宋体" w:hAnsi="宋体" w:cs="宋体"/>
          <w:b/>
          <w:bCs/>
          <w:sz w:val="24"/>
        </w:rPr>
      </w:pPr>
      <w:r>
        <w:rPr>
          <w:rFonts w:hint="eastAsia" w:ascii="宋体" w:hAnsi="宋体" w:cs="宋体"/>
          <w:b/>
          <w:bCs/>
          <w:sz w:val="24"/>
        </w:rPr>
        <w:t>附件2：</w:t>
      </w:r>
    </w:p>
    <w:p>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pPr>
        <w:spacing w:line="500" w:lineRule="exact"/>
        <w:rPr>
          <w:rFonts w:ascii="宋体" w:hAnsi="宋体" w:eastAsia="宋体" w:cs="宋体"/>
          <w:sz w:val="28"/>
        </w:rPr>
      </w:pPr>
    </w:p>
    <w:p>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pPr>
        <w:spacing w:line="500" w:lineRule="exact"/>
        <w:ind w:firstLine="3840" w:firstLineChars="1600"/>
        <w:rPr>
          <w:rFonts w:ascii="宋体" w:hAnsi="宋体" w:eastAsia="宋体" w:cs="宋体"/>
          <w:sz w:val="24"/>
        </w:rPr>
      </w:pPr>
    </w:p>
    <w:p>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pPr>
        <w:spacing w:line="360" w:lineRule="auto"/>
        <w:jc w:val="center"/>
        <w:rPr>
          <w:rFonts w:ascii="宋体" w:hAnsi="宋体" w:eastAsia="宋体" w:cs="宋体"/>
          <w:sz w:val="44"/>
        </w:rPr>
      </w:pPr>
    </w:p>
    <w:p>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txbxContent>
                </v:textbox>
                <w10:wrap type="square"/>
              </v:shape>
            </w:pict>
          </mc:Fallback>
        </mc:AlternateContent>
      </w:r>
    </w:p>
    <w:p>
      <w:pPr>
        <w:spacing w:line="360" w:lineRule="auto"/>
        <w:rPr>
          <w:rFonts w:ascii="宋体" w:hAnsi="宋体" w:eastAsia="宋体" w:cs="宋体"/>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代理人签名：       </w:t>
      </w:r>
    </w:p>
    <w:p>
      <w:pPr>
        <w:spacing w:line="360" w:lineRule="auto"/>
        <w:rPr>
          <w:rFonts w:ascii="宋体" w:hAnsi="宋体" w:eastAsia="宋体" w:cs="宋体"/>
          <w:sz w:val="24"/>
        </w:rPr>
      </w:pPr>
      <w:r>
        <w:rPr>
          <w:rFonts w:hint="eastAsia" w:ascii="宋体" w:hAnsi="宋体" w:eastAsia="宋体" w:cs="宋体"/>
          <w:sz w:val="24"/>
        </w:rPr>
        <w:t xml:space="preserve">    联系电话：</w:t>
      </w:r>
    </w:p>
    <w:p>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360" w:lineRule="auto"/>
        <w:ind w:right="480" w:firstLine="3960" w:firstLineChars="1650"/>
        <w:rPr>
          <w:rFonts w:ascii="宋体" w:hAnsi="宋体" w:eastAsia="宋体" w:cs="宋体"/>
          <w:sz w:val="24"/>
        </w:rPr>
      </w:pPr>
    </w:p>
    <w:p>
      <w:pPr>
        <w:spacing w:line="360" w:lineRule="auto"/>
        <w:ind w:right="480" w:firstLine="3960" w:firstLineChars="1650"/>
        <w:rPr>
          <w:rFonts w:ascii="宋体" w:hAnsi="宋体" w:cs="宋体"/>
          <w:sz w:val="24"/>
        </w:rPr>
      </w:pP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附件4：投标人营业执照（盖公章）</w:t>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5：</w:t>
      </w:r>
      <w:r>
        <w:rPr>
          <w:rFonts w:hint="eastAsia" w:ascii="宋体" w:hAnsi="宋体" w:eastAsia="宋体" w:cs="宋体"/>
          <w:b/>
          <w:sz w:val="28"/>
          <w:szCs w:val="44"/>
        </w:rPr>
        <w:t>投标人C</w:t>
      </w:r>
      <w:r>
        <w:rPr>
          <w:rFonts w:ascii="宋体" w:hAnsi="宋体" w:eastAsia="宋体" w:cs="宋体"/>
          <w:b/>
          <w:sz w:val="28"/>
          <w:szCs w:val="44"/>
        </w:rPr>
        <w:t>MA</w:t>
      </w:r>
      <w:r>
        <w:rPr>
          <w:rFonts w:hint="eastAsia" w:ascii="宋体" w:hAnsi="宋体" w:eastAsia="宋体" w:cs="宋体"/>
          <w:b/>
          <w:sz w:val="28"/>
          <w:szCs w:val="44"/>
        </w:rPr>
        <w:t>认证证书（盖公章）</w:t>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6：</w:t>
      </w:r>
      <w:r>
        <w:rPr>
          <w:rFonts w:hint="eastAsia" w:ascii="宋体" w:hAnsi="宋体" w:eastAsia="宋体" w:cs="宋体"/>
          <w:b/>
          <w:sz w:val="28"/>
          <w:szCs w:val="44"/>
        </w:rPr>
        <w:t>投标人认为需要补充的其他材料</w:t>
      </w:r>
      <w:r>
        <w:rPr>
          <w:rFonts w:ascii="宋体" w:hAnsi="宋体" w:eastAsia="宋体" w:cs="宋体"/>
          <w:b/>
          <w:sz w:val="28"/>
          <w:szCs w:val="44"/>
        </w:rPr>
        <w:t>（盖公章）</w:t>
      </w:r>
    </w:p>
    <w:p>
      <w:pPr>
        <w:rPr>
          <w:rFonts w:ascii="宋体" w:hAnsi="宋体" w:eastAsia="宋体"/>
          <w:sz w:val="24"/>
          <w:szCs w:val="21"/>
        </w:rPr>
      </w:pPr>
      <w:r>
        <w:rPr>
          <w:rFonts w:ascii="宋体" w:hAnsi="宋体" w:eastAsia="宋体"/>
          <w:sz w:val="24"/>
          <w:szCs w:val="21"/>
        </w:rPr>
        <w:br w:type="page"/>
      </w:r>
    </w:p>
    <w:p>
      <w:pPr>
        <w:spacing w:line="360" w:lineRule="auto"/>
        <w:jc w:val="left"/>
        <w:rPr>
          <w:rFonts w:hint="eastAsia" w:ascii="宋体" w:hAnsi="宋体" w:eastAsia="宋体" w:cs="宋体"/>
          <w:b/>
          <w:sz w:val="28"/>
          <w:szCs w:val="44"/>
          <w:lang w:val="en-US" w:eastAsia="zh-CN"/>
        </w:rPr>
      </w:pPr>
      <w:r>
        <w:rPr>
          <w:rFonts w:hint="eastAsia" w:ascii="宋体" w:hAnsi="宋体" w:eastAsia="宋体" w:cs="宋体"/>
          <w:b/>
          <w:sz w:val="28"/>
          <w:szCs w:val="44"/>
          <w:lang w:val="en-US" w:eastAsia="zh-CN"/>
        </w:rPr>
        <w:t>附件二：技术规格书要求及检测清单</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盐城国丰</w:t>
      </w:r>
      <w:r>
        <w:rPr>
          <w:rFonts w:hint="eastAsia" w:ascii="宋体" w:hAnsi="宋体" w:eastAsia="宋体" w:cs="宋体"/>
          <w:b/>
          <w:sz w:val="28"/>
          <w:szCs w:val="28"/>
          <w:lang w:val="en-US" w:eastAsia="zh-CN"/>
        </w:rPr>
        <w:t>海上</w:t>
      </w:r>
      <w:r>
        <w:rPr>
          <w:rFonts w:hint="eastAsia" w:ascii="宋体" w:hAnsi="宋体" w:eastAsia="宋体" w:cs="宋体"/>
          <w:b/>
          <w:sz w:val="28"/>
          <w:szCs w:val="28"/>
        </w:rPr>
        <w:t>风力发电有限公司</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lang w:val="en-US" w:eastAsia="zh-CN"/>
        </w:rPr>
        <w:t>变压器油质化验</w:t>
      </w:r>
      <w:r>
        <w:rPr>
          <w:rFonts w:hint="eastAsia" w:ascii="宋体" w:hAnsi="宋体" w:eastAsia="宋体" w:cs="宋体"/>
          <w:b/>
          <w:sz w:val="28"/>
          <w:szCs w:val="28"/>
        </w:rPr>
        <w:t>要求</w:t>
      </w:r>
      <w:bookmarkStart w:id="0" w:name="_Toc401903496"/>
      <w:bookmarkStart w:id="1" w:name="_Toc508897635"/>
      <w:bookmarkStart w:id="2" w:name="_Toc305943470"/>
    </w:p>
    <w:bookmarkEnd w:id="0"/>
    <w:bookmarkEnd w:id="1"/>
    <w:bookmarkEnd w:id="2"/>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本次主要检测陆上升压站、海上H5-1升压站和H5-2升压站</w:t>
      </w:r>
      <w:r>
        <w:rPr>
          <w:rFonts w:hint="eastAsia" w:ascii="宋体" w:hAnsi="宋体" w:eastAsia="宋体" w:cs="宋体"/>
          <w:color w:val="000000" w:themeColor="text1"/>
          <w:sz w:val="24"/>
          <w:szCs w:val="24"/>
          <w14:textFill>
            <w14:solidFill>
              <w14:schemeClr w14:val="tx1"/>
            </w14:solidFill>
          </w14:textFill>
        </w:rPr>
        <w:t>油浸设备</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sz w:val="24"/>
          <w:szCs w:val="24"/>
          <w:lang w:val="en-US" w:eastAsia="zh-CN"/>
        </w:rPr>
        <w:t>具体检测项目及数量</w:t>
      </w:r>
      <w:r>
        <w:rPr>
          <w:rFonts w:hint="eastAsia" w:ascii="宋体" w:hAnsi="宋体" w:eastAsia="宋体" w:cs="宋体"/>
          <w:sz w:val="24"/>
          <w:szCs w:val="24"/>
        </w:rPr>
        <w:t>如下：</w:t>
      </w:r>
    </w:p>
    <w:p>
      <w:pPr>
        <w:pStyle w:val="25"/>
        <w:numPr>
          <w:ilvl w:val="2"/>
          <w:numId w:val="2"/>
        </w:numPr>
        <w:spacing w:line="360" w:lineRule="auto"/>
        <w:ind w:firstLineChars="0"/>
        <w:rPr>
          <w:rFonts w:hint="eastAsia" w:ascii="宋体" w:hAnsi="宋体" w:eastAsia="宋体" w:cs="宋体"/>
          <w:color w:val="000000"/>
          <w:sz w:val="24"/>
        </w:rPr>
      </w:pPr>
      <w:r>
        <w:rPr>
          <w:rFonts w:hint="eastAsia" w:ascii="宋体" w:hAnsi="宋体" w:eastAsia="宋体" w:cs="宋体"/>
          <w:color w:val="000000"/>
          <w:sz w:val="24"/>
        </w:rPr>
        <w:t>外观检查：透明无杂质</w:t>
      </w:r>
    </w:p>
    <w:p>
      <w:pPr>
        <w:pStyle w:val="25"/>
        <w:numPr>
          <w:ilvl w:val="2"/>
          <w:numId w:val="2"/>
        </w:numPr>
        <w:spacing w:line="360" w:lineRule="auto"/>
        <w:ind w:firstLineChars="0"/>
        <w:rPr>
          <w:rFonts w:hint="eastAsia" w:ascii="宋体" w:hAnsi="宋体" w:eastAsia="宋体" w:cs="宋体"/>
          <w:color w:val="000000"/>
          <w:sz w:val="24"/>
        </w:rPr>
      </w:pPr>
      <w:r>
        <w:rPr>
          <w:rFonts w:hint="eastAsia" w:ascii="宋体" w:hAnsi="宋体" w:eastAsia="宋体" w:cs="宋体"/>
          <w:color w:val="000000"/>
          <w:sz w:val="24"/>
          <w:lang w:val="en-US" w:eastAsia="zh-CN"/>
        </w:rPr>
        <w:t>介损（90°）</w:t>
      </w:r>
      <w:r>
        <w:rPr>
          <w:rFonts w:hint="eastAsia" w:ascii="宋体" w:hAnsi="宋体" w:eastAsia="宋体" w:cs="宋体"/>
          <w:color w:val="000000"/>
          <w:sz w:val="24"/>
        </w:rPr>
        <w:t>：≤</w:t>
      </w:r>
      <w:r>
        <w:rPr>
          <w:rFonts w:hint="eastAsia" w:ascii="宋体" w:hAnsi="宋体" w:eastAsia="宋体" w:cs="宋体"/>
          <w:color w:val="000000"/>
          <w:sz w:val="24"/>
          <w:lang w:val="en-US" w:eastAsia="zh-CN"/>
        </w:rPr>
        <w:t>0</w:t>
      </w:r>
      <w:r>
        <w:rPr>
          <w:rFonts w:hint="eastAsia" w:ascii="宋体" w:hAnsi="宋体" w:eastAsia="宋体" w:cs="宋体"/>
          <w:color w:val="000000"/>
          <w:sz w:val="24"/>
        </w:rPr>
        <w:t>.0</w:t>
      </w:r>
      <w:r>
        <w:rPr>
          <w:rFonts w:hint="eastAsia" w:ascii="宋体" w:hAnsi="宋体" w:eastAsia="宋体" w:cs="宋体"/>
          <w:color w:val="000000"/>
          <w:sz w:val="24"/>
          <w:lang w:val="en-US" w:eastAsia="zh-CN"/>
        </w:rPr>
        <w:t>4</w:t>
      </w:r>
    </w:p>
    <w:p>
      <w:pPr>
        <w:pStyle w:val="25"/>
        <w:numPr>
          <w:ilvl w:val="2"/>
          <w:numId w:val="2"/>
        </w:numPr>
        <w:spacing w:line="360" w:lineRule="auto"/>
        <w:ind w:firstLineChars="0"/>
        <w:rPr>
          <w:rFonts w:hint="eastAsia" w:ascii="宋体" w:hAnsi="宋体" w:eastAsia="宋体" w:cs="宋体"/>
          <w:color w:val="000000"/>
          <w:sz w:val="24"/>
        </w:rPr>
      </w:pPr>
      <w:r>
        <w:rPr>
          <w:rFonts w:hint="eastAsia" w:ascii="宋体" w:hAnsi="宋体" w:eastAsia="宋体" w:cs="宋体"/>
          <w:color w:val="000000"/>
          <w:sz w:val="24"/>
        </w:rPr>
        <w:t>闪点（闭口/℃）：≥135</w:t>
      </w:r>
    </w:p>
    <w:p>
      <w:pPr>
        <w:pStyle w:val="25"/>
        <w:numPr>
          <w:ilvl w:val="2"/>
          <w:numId w:val="2"/>
        </w:numPr>
        <w:spacing w:line="360" w:lineRule="auto"/>
        <w:ind w:firstLineChars="0"/>
        <w:rPr>
          <w:rFonts w:hint="eastAsia" w:ascii="宋体" w:hAnsi="宋体" w:eastAsia="宋体" w:cs="宋体"/>
          <w:color w:val="000000"/>
          <w:sz w:val="24"/>
        </w:rPr>
      </w:pPr>
      <w:r>
        <w:rPr>
          <w:rFonts w:hint="eastAsia" w:ascii="宋体" w:hAnsi="宋体" w:eastAsia="宋体" w:cs="宋体"/>
          <w:color w:val="000000"/>
          <w:sz w:val="24"/>
        </w:rPr>
        <w:t>水分（mg/L）：≤2.5</w:t>
      </w:r>
    </w:p>
    <w:p>
      <w:pPr>
        <w:pStyle w:val="25"/>
        <w:numPr>
          <w:ilvl w:val="2"/>
          <w:numId w:val="2"/>
        </w:numPr>
        <w:spacing w:line="360" w:lineRule="auto"/>
        <w:ind w:firstLineChars="0"/>
        <w:rPr>
          <w:rFonts w:hint="eastAsia" w:ascii="宋体" w:hAnsi="宋体" w:eastAsia="宋体" w:cs="宋体"/>
          <w:color w:val="000000"/>
          <w:sz w:val="24"/>
        </w:rPr>
      </w:pPr>
      <w:r>
        <w:rPr>
          <w:rFonts w:hint="eastAsia" w:ascii="宋体" w:hAnsi="宋体" w:eastAsia="宋体" w:cs="宋体"/>
          <w:color w:val="000000"/>
          <w:sz w:val="24"/>
        </w:rPr>
        <w:t>水溶性酸（pH值）：≥4.2</w:t>
      </w:r>
    </w:p>
    <w:p>
      <w:pPr>
        <w:pStyle w:val="25"/>
        <w:numPr>
          <w:ilvl w:val="2"/>
          <w:numId w:val="2"/>
        </w:numPr>
        <w:spacing w:line="360" w:lineRule="auto"/>
        <w:ind w:firstLineChars="0"/>
        <w:rPr>
          <w:rFonts w:hint="eastAsia" w:ascii="宋体" w:hAnsi="宋体" w:eastAsia="宋体" w:cs="宋体"/>
          <w:color w:val="000000"/>
          <w:sz w:val="24"/>
        </w:rPr>
      </w:pPr>
      <w:r>
        <w:rPr>
          <w:rFonts w:hint="eastAsia" w:ascii="宋体" w:hAnsi="宋体" w:eastAsia="宋体" w:cs="宋体"/>
          <w:color w:val="000000"/>
          <w:sz w:val="24"/>
        </w:rPr>
        <w:t>酸值KOH（mg/g）：≤0.1</w:t>
      </w:r>
    </w:p>
    <w:p>
      <w:pPr>
        <w:pStyle w:val="25"/>
        <w:numPr>
          <w:ilvl w:val="2"/>
          <w:numId w:val="2"/>
        </w:numPr>
        <w:spacing w:line="360" w:lineRule="auto"/>
        <w:ind w:firstLineChars="0"/>
        <w:rPr>
          <w:rFonts w:hint="eastAsia" w:ascii="宋体" w:hAnsi="宋体" w:eastAsia="宋体" w:cs="宋体"/>
          <w:color w:val="000000"/>
          <w:sz w:val="24"/>
        </w:rPr>
      </w:pPr>
      <w:r>
        <w:rPr>
          <w:rFonts w:hint="eastAsia" w:ascii="宋体" w:hAnsi="宋体" w:eastAsia="宋体" w:cs="宋体"/>
          <w:color w:val="000000"/>
          <w:sz w:val="24"/>
        </w:rPr>
        <w:t>界面张力（25℃、mN/m）: ≥25</w:t>
      </w:r>
    </w:p>
    <w:p>
      <w:pPr>
        <w:pStyle w:val="25"/>
        <w:numPr>
          <w:ilvl w:val="2"/>
          <w:numId w:val="2"/>
        </w:numPr>
        <w:spacing w:line="360" w:lineRule="auto"/>
        <w:ind w:firstLineChars="0"/>
        <w:rPr>
          <w:rFonts w:hint="eastAsia" w:ascii="宋体" w:hAnsi="宋体" w:eastAsia="宋体" w:cs="宋体"/>
          <w:color w:val="000000"/>
          <w:sz w:val="24"/>
        </w:rPr>
      </w:pPr>
      <w:r>
        <w:rPr>
          <w:rFonts w:hint="eastAsia" w:ascii="宋体" w:hAnsi="宋体" w:eastAsia="宋体" w:cs="宋体"/>
          <w:color w:val="000000"/>
          <w:sz w:val="24"/>
        </w:rPr>
        <w:t>绝缘耐压（KV）：≤40</w:t>
      </w:r>
    </w:p>
    <w:p>
      <w:pPr>
        <w:pStyle w:val="25"/>
        <w:numPr>
          <w:ilvl w:val="2"/>
          <w:numId w:val="2"/>
        </w:numPr>
        <w:spacing w:line="360" w:lineRule="auto"/>
        <w:ind w:firstLineChars="0"/>
        <w:rPr>
          <w:rFonts w:hint="eastAsia" w:ascii="宋体" w:hAnsi="宋体" w:eastAsia="宋体" w:cs="宋体"/>
          <w:color w:val="000000"/>
          <w:sz w:val="24"/>
        </w:rPr>
      </w:pPr>
      <w:r>
        <w:rPr>
          <w:rFonts w:hint="eastAsia" w:ascii="宋体" w:hAnsi="宋体" w:eastAsia="宋体" w:cs="宋体"/>
          <w:color w:val="000000"/>
          <w:sz w:val="24"/>
        </w:rPr>
        <w:t>色谱分析：油中气体含量符合《DL/T703-2015绝缘油中含气量的气相色谱测定法》</w:t>
      </w:r>
    </w:p>
    <w:p>
      <w:pPr>
        <w:pStyle w:val="25"/>
        <w:numPr>
          <w:ilvl w:val="2"/>
          <w:numId w:val="2"/>
        </w:numPr>
        <w:spacing w:line="360" w:lineRule="auto"/>
        <w:ind w:firstLineChars="0"/>
        <w:rPr>
          <w:rFonts w:hint="eastAsia" w:ascii="宋体" w:hAnsi="宋体" w:eastAsia="宋体" w:cs="宋体"/>
          <w:color w:val="000000"/>
          <w:sz w:val="24"/>
        </w:rPr>
      </w:pPr>
      <w:r>
        <w:rPr>
          <w:rFonts w:hint="eastAsia" w:ascii="宋体" w:hAnsi="宋体" w:eastAsia="宋体" w:cs="宋体"/>
          <w:color w:val="000000"/>
          <w:sz w:val="24"/>
        </w:rPr>
        <w:t>油浸设备数量及所属区域（见下表）：</w:t>
      </w:r>
    </w:p>
    <w:tbl>
      <w:tblPr>
        <w:tblStyle w:val="11"/>
        <w:tblW w:w="88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5284"/>
        <w:gridCol w:w="1333"/>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8" w:type="dxa"/>
          </w:tcPr>
          <w:p>
            <w:pPr>
              <w:pStyle w:val="25"/>
              <w:ind w:firstLine="0" w:firstLineChars="0"/>
              <w:jc w:val="center"/>
              <w:rPr>
                <w:rFonts w:hint="eastAsia" w:ascii="宋体" w:hAnsi="宋体" w:eastAsia="宋体" w:cs="宋体"/>
                <w:sz w:val="24"/>
                <w:szCs w:val="24"/>
              </w:rPr>
            </w:pPr>
            <w:r>
              <w:rPr>
                <w:rFonts w:hint="eastAsia" w:ascii="宋体" w:hAnsi="宋体" w:eastAsia="宋体" w:cs="宋体"/>
                <w:sz w:val="24"/>
                <w:szCs w:val="24"/>
              </w:rPr>
              <w:t>区域</w:t>
            </w:r>
          </w:p>
        </w:tc>
        <w:tc>
          <w:tcPr>
            <w:tcW w:w="5284" w:type="dxa"/>
          </w:tcPr>
          <w:p>
            <w:pPr>
              <w:pStyle w:val="25"/>
              <w:ind w:firstLine="0" w:firstLineChars="0"/>
              <w:jc w:val="center"/>
              <w:rPr>
                <w:rFonts w:hint="eastAsia" w:ascii="宋体" w:hAnsi="宋体" w:eastAsia="宋体" w:cs="宋体"/>
                <w:sz w:val="24"/>
                <w:szCs w:val="24"/>
              </w:rPr>
            </w:pPr>
            <w:r>
              <w:rPr>
                <w:rFonts w:hint="eastAsia" w:ascii="宋体" w:hAnsi="宋体" w:eastAsia="宋体" w:cs="宋体"/>
                <w:sz w:val="24"/>
                <w:szCs w:val="24"/>
              </w:rPr>
              <w:t>油设备名称</w:t>
            </w:r>
          </w:p>
        </w:tc>
        <w:tc>
          <w:tcPr>
            <w:tcW w:w="1333" w:type="dxa"/>
          </w:tcPr>
          <w:p>
            <w:pPr>
              <w:pStyle w:val="25"/>
              <w:ind w:firstLine="0" w:firstLineChars="0"/>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次数</w:t>
            </w:r>
          </w:p>
        </w:tc>
        <w:tc>
          <w:tcPr>
            <w:tcW w:w="778" w:type="dxa"/>
            <w:vAlign w:val="top"/>
          </w:tcPr>
          <w:p>
            <w:pPr>
              <w:pStyle w:val="25"/>
              <w:ind w:firstLine="0" w:firstLineChars="0"/>
              <w:jc w:val="center"/>
              <w:rPr>
                <w:rFonts w:hint="eastAsia" w:ascii="宋体" w:hAnsi="宋体" w:eastAsia="宋体" w:cs="宋体"/>
                <w:sz w:val="24"/>
                <w:szCs w:val="24"/>
              </w:rPr>
            </w:pPr>
            <w:r>
              <w:rPr>
                <w:rFonts w:hint="eastAsia" w:ascii="宋体" w:hAnsi="宋体" w:eastAsia="宋体" w:cs="宋体"/>
                <w:sz w:val="24"/>
                <w:szCs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78" w:type="dxa"/>
          </w:tcPr>
          <w:p>
            <w:pPr>
              <w:pStyle w:val="25"/>
              <w:ind w:firstLine="0" w:firstLineChars="0"/>
              <w:jc w:val="center"/>
              <w:rPr>
                <w:rFonts w:hint="eastAsia" w:ascii="宋体" w:hAnsi="宋体" w:eastAsia="宋体" w:cs="宋体"/>
                <w:sz w:val="24"/>
                <w:szCs w:val="24"/>
              </w:rPr>
            </w:pPr>
            <w:r>
              <w:rPr>
                <w:rFonts w:hint="eastAsia" w:ascii="宋体" w:hAnsi="宋体" w:eastAsia="宋体" w:cs="宋体"/>
                <w:sz w:val="24"/>
                <w:szCs w:val="24"/>
              </w:rPr>
              <w:t>陆上升压站</w:t>
            </w:r>
          </w:p>
        </w:tc>
        <w:tc>
          <w:tcPr>
            <w:tcW w:w="5284" w:type="dxa"/>
          </w:tcPr>
          <w:p>
            <w:pPr>
              <w:pStyle w:val="25"/>
              <w:ind w:firstLine="0" w:firstLineChars="0"/>
              <w:jc w:val="center"/>
              <w:rPr>
                <w:rFonts w:hint="eastAsia" w:ascii="宋体" w:hAnsi="宋体" w:eastAsia="宋体" w:cs="宋体"/>
                <w:sz w:val="24"/>
                <w:szCs w:val="24"/>
              </w:rPr>
            </w:pPr>
            <w:r>
              <w:rPr>
                <w:rFonts w:hint="eastAsia" w:ascii="宋体" w:hAnsi="宋体" w:eastAsia="宋体" w:cs="宋体"/>
                <w:sz w:val="24"/>
                <w:szCs w:val="24"/>
              </w:rPr>
              <w:t>#4主变、#4主变有载调压、49H0高抗、352低抗</w:t>
            </w:r>
          </w:p>
        </w:tc>
        <w:tc>
          <w:tcPr>
            <w:tcW w:w="1333" w:type="dxa"/>
            <w:vAlign w:val="top"/>
          </w:tcPr>
          <w:p>
            <w:pPr>
              <w:pStyle w:val="25"/>
              <w:ind w:firstLine="0" w:firstLineChar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2次/年</w:t>
            </w:r>
          </w:p>
        </w:tc>
        <w:tc>
          <w:tcPr>
            <w:tcW w:w="778" w:type="dxa"/>
            <w:vAlign w:val="top"/>
          </w:tcPr>
          <w:p>
            <w:pPr>
              <w:pStyle w:val="25"/>
              <w:ind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78" w:type="dxa"/>
          </w:tcPr>
          <w:p>
            <w:pPr>
              <w:pStyle w:val="25"/>
              <w:ind w:firstLine="0" w:firstLineChars="0"/>
              <w:jc w:val="center"/>
              <w:rPr>
                <w:rFonts w:hint="eastAsia" w:ascii="宋体" w:hAnsi="宋体" w:eastAsia="宋体" w:cs="宋体"/>
                <w:sz w:val="24"/>
                <w:szCs w:val="24"/>
              </w:rPr>
            </w:pPr>
            <w:r>
              <w:rPr>
                <w:rFonts w:hint="eastAsia" w:ascii="宋体" w:hAnsi="宋体" w:eastAsia="宋体" w:cs="宋体"/>
                <w:sz w:val="24"/>
                <w:szCs w:val="24"/>
              </w:rPr>
              <w:t>H5-1站</w:t>
            </w:r>
          </w:p>
        </w:tc>
        <w:tc>
          <w:tcPr>
            <w:tcW w:w="5284" w:type="dxa"/>
          </w:tcPr>
          <w:p>
            <w:pPr>
              <w:pStyle w:val="25"/>
              <w:ind w:firstLine="0" w:firstLineChars="0"/>
              <w:jc w:val="center"/>
              <w:rPr>
                <w:rFonts w:hint="eastAsia" w:ascii="宋体" w:hAnsi="宋体" w:eastAsia="宋体" w:cs="宋体"/>
                <w:sz w:val="24"/>
                <w:szCs w:val="24"/>
              </w:rPr>
            </w:pPr>
            <w:r>
              <w:rPr>
                <w:rFonts w:hint="eastAsia" w:ascii="宋体" w:hAnsi="宋体" w:eastAsia="宋体" w:cs="宋体"/>
                <w:sz w:val="24"/>
                <w:szCs w:val="24"/>
              </w:rPr>
              <w:t>#1主变、#1主变有载调压、#2主变、#2主变有载调压、49H9高抗</w:t>
            </w:r>
          </w:p>
        </w:tc>
        <w:tc>
          <w:tcPr>
            <w:tcW w:w="1333" w:type="dxa"/>
            <w:vAlign w:val="top"/>
          </w:tcPr>
          <w:p>
            <w:pPr>
              <w:pStyle w:val="25"/>
              <w:ind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2次/年</w:t>
            </w:r>
          </w:p>
        </w:tc>
        <w:tc>
          <w:tcPr>
            <w:tcW w:w="778" w:type="dxa"/>
            <w:vAlign w:val="top"/>
          </w:tcPr>
          <w:p>
            <w:pPr>
              <w:pStyle w:val="25"/>
              <w:ind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78" w:type="dxa"/>
          </w:tcPr>
          <w:p>
            <w:pPr>
              <w:pStyle w:val="25"/>
              <w:ind w:firstLine="0" w:firstLineChars="0"/>
              <w:jc w:val="center"/>
              <w:rPr>
                <w:rFonts w:hint="eastAsia" w:ascii="宋体" w:hAnsi="宋体" w:eastAsia="宋体" w:cs="宋体"/>
                <w:sz w:val="24"/>
                <w:szCs w:val="24"/>
              </w:rPr>
            </w:pPr>
            <w:r>
              <w:rPr>
                <w:rFonts w:hint="eastAsia" w:ascii="宋体" w:hAnsi="宋体" w:eastAsia="宋体" w:cs="宋体"/>
                <w:sz w:val="24"/>
                <w:szCs w:val="24"/>
              </w:rPr>
              <w:t>H5-2站</w:t>
            </w:r>
          </w:p>
        </w:tc>
        <w:tc>
          <w:tcPr>
            <w:tcW w:w="5284" w:type="dxa"/>
          </w:tcPr>
          <w:p>
            <w:pPr>
              <w:pStyle w:val="25"/>
              <w:ind w:firstLine="0" w:firstLineChars="0"/>
              <w:jc w:val="center"/>
              <w:rPr>
                <w:rFonts w:hint="eastAsia" w:ascii="宋体" w:hAnsi="宋体" w:eastAsia="宋体" w:cs="宋体"/>
                <w:sz w:val="24"/>
                <w:szCs w:val="24"/>
              </w:rPr>
            </w:pPr>
            <w:r>
              <w:rPr>
                <w:rFonts w:hint="eastAsia" w:ascii="宋体" w:hAnsi="宋体" w:eastAsia="宋体" w:cs="宋体"/>
                <w:sz w:val="24"/>
                <w:szCs w:val="24"/>
              </w:rPr>
              <w:t>#3主变、#3主变有载调压</w:t>
            </w:r>
            <w:r>
              <w:rPr>
                <w:rFonts w:hint="eastAsia" w:ascii="宋体" w:hAnsi="宋体" w:eastAsia="宋体" w:cs="宋体"/>
                <w:sz w:val="24"/>
                <w:szCs w:val="24"/>
                <w:lang w:eastAsia="zh-CN"/>
              </w:rPr>
              <w:t>、</w:t>
            </w:r>
            <w:r>
              <w:rPr>
                <w:rFonts w:hint="eastAsia" w:ascii="宋体" w:hAnsi="宋体" w:eastAsia="宋体" w:cs="宋体"/>
                <w:sz w:val="24"/>
                <w:szCs w:val="24"/>
              </w:rPr>
              <w:t>49H0高抗</w:t>
            </w:r>
          </w:p>
        </w:tc>
        <w:tc>
          <w:tcPr>
            <w:tcW w:w="1333" w:type="dxa"/>
            <w:vAlign w:val="top"/>
          </w:tcPr>
          <w:p>
            <w:pPr>
              <w:pStyle w:val="25"/>
              <w:ind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2次/年</w:t>
            </w:r>
          </w:p>
        </w:tc>
        <w:tc>
          <w:tcPr>
            <w:tcW w:w="778" w:type="dxa"/>
            <w:vAlign w:val="top"/>
          </w:tcPr>
          <w:p>
            <w:pPr>
              <w:pStyle w:val="25"/>
              <w:ind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r>
    </w:tbl>
    <w:p>
      <w:pPr>
        <w:rPr>
          <w:rFonts w:hint="eastAsia" w:cstheme="minorBidi"/>
          <w:color w:val="auto"/>
          <w:kern w:val="2"/>
          <w:szCs w:val="21"/>
          <w:lang w:val="en-US" w:eastAsia="zh-CN"/>
        </w:rPr>
      </w:pPr>
      <w:r>
        <w:rPr>
          <w:rFonts w:hint="eastAsia" w:cstheme="minorBidi"/>
          <w:color w:val="auto"/>
          <w:kern w:val="2"/>
          <w:szCs w:val="21"/>
          <w:lang w:val="en-US" w:eastAsia="zh-CN"/>
        </w:rPr>
        <w:br w:type="page"/>
      </w:r>
    </w:p>
    <w:p>
      <w:pPr>
        <w:pStyle w:val="15"/>
        <w:rPr>
          <w:rFonts w:hint="eastAsia" w:cstheme="minorBidi"/>
          <w:color w:val="auto"/>
          <w:kern w:val="2"/>
          <w:szCs w:val="21"/>
          <w:lang w:val="en-US" w:eastAsia="zh-CN"/>
        </w:rPr>
      </w:pPr>
      <w:r>
        <w:rPr>
          <w:rFonts w:hint="eastAsia" w:cstheme="minorBidi"/>
          <w:color w:val="auto"/>
          <w:kern w:val="2"/>
          <w:szCs w:val="21"/>
          <w:lang w:val="en-US" w:eastAsia="zh-CN"/>
        </w:rPr>
        <w:t>附件三：合同格式</w:t>
      </w:r>
    </w:p>
    <w:p>
      <w:pPr>
        <w:rPr>
          <w:rFonts w:hint="eastAsia" w:ascii="宋体" w:hAnsi="宋体" w:eastAsia="宋体" w:cs="宋体"/>
          <w:bCs/>
          <w:sz w:val="28"/>
        </w:rPr>
      </w:pPr>
      <w:r>
        <w:rPr>
          <w:rFonts w:hint="eastAsia" w:ascii="宋体" w:hAnsi="宋体" w:eastAsia="宋体" w:cs="宋体"/>
          <w:bCs/>
          <w:sz w:val="28"/>
        </w:rPr>
        <w:t>合同编号：</w:t>
      </w:r>
    </w:p>
    <w:p>
      <w:pPr>
        <w:pStyle w:val="15"/>
        <w:rPr>
          <w:rFonts w:hint="eastAsia" w:ascii="宋体" w:hAnsi="宋体" w:eastAsia="宋体" w:cs="宋体"/>
        </w:rPr>
      </w:pPr>
    </w:p>
    <w:p>
      <w:pPr>
        <w:rPr>
          <w:rFonts w:hint="eastAsia" w:ascii="宋体" w:hAnsi="宋体" w:eastAsia="宋体" w:cs="宋体"/>
          <w:b/>
          <w:bCs/>
          <w:sz w:val="52"/>
        </w:rPr>
      </w:pPr>
    </w:p>
    <w:p>
      <w:pPr>
        <w:pStyle w:val="15"/>
        <w:rPr>
          <w:rFonts w:hint="eastAsia" w:ascii="宋体" w:hAnsi="宋体" w:eastAsia="宋体" w:cs="宋体"/>
        </w:rPr>
      </w:pPr>
    </w:p>
    <w:p>
      <w:pPr>
        <w:pStyle w:val="15"/>
        <w:rPr>
          <w:rFonts w:hint="eastAsia" w:ascii="宋体" w:hAnsi="宋体" w:eastAsia="宋体" w:cs="宋体"/>
        </w:rPr>
      </w:pPr>
    </w:p>
    <w:p>
      <w:pPr>
        <w:pStyle w:val="15"/>
        <w:rPr>
          <w:rFonts w:hint="eastAsia" w:ascii="宋体" w:hAnsi="宋体" w:eastAsia="宋体" w:cs="宋体"/>
        </w:rPr>
      </w:pPr>
    </w:p>
    <w:p>
      <w:pPr>
        <w:spacing w:line="480" w:lineRule="auto"/>
        <w:jc w:val="center"/>
        <w:rPr>
          <w:rFonts w:hint="eastAsia" w:ascii="宋体" w:hAnsi="宋体" w:eastAsia="宋体" w:cs="宋体"/>
          <w:b/>
          <w:bCs/>
          <w:sz w:val="48"/>
          <w:szCs w:val="56"/>
        </w:rPr>
      </w:pPr>
      <w:r>
        <w:rPr>
          <w:rFonts w:hint="eastAsia" w:ascii="宋体" w:hAnsi="宋体" w:eastAsia="宋体" w:cs="宋体"/>
          <w:b/>
          <w:bCs/>
          <w:sz w:val="48"/>
          <w:szCs w:val="56"/>
        </w:rPr>
        <w:t>盐城国能大丰H5#海上风电场</w:t>
      </w:r>
    </w:p>
    <w:p>
      <w:pPr>
        <w:spacing w:line="480" w:lineRule="auto"/>
        <w:jc w:val="center"/>
        <w:rPr>
          <w:rFonts w:hint="eastAsia" w:ascii="宋体" w:hAnsi="宋体" w:eastAsia="宋体" w:cs="宋体"/>
          <w:b/>
          <w:bCs/>
          <w:sz w:val="48"/>
          <w:szCs w:val="56"/>
        </w:rPr>
      </w:pPr>
      <w:r>
        <w:rPr>
          <w:rFonts w:hint="eastAsia" w:ascii="宋体" w:hAnsi="宋体" w:eastAsia="宋体" w:cs="宋体"/>
          <w:b/>
          <w:bCs/>
          <w:sz w:val="48"/>
          <w:szCs w:val="56"/>
          <w:lang w:eastAsia="zh-CN"/>
        </w:rPr>
        <w:t>变压器油质化验</w:t>
      </w:r>
      <w:r>
        <w:rPr>
          <w:rFonts w:hint="eastAsia" w:ascii="宋体" w:hAnsi="宋体" w:eastAsia="宋体" w:cs="宋体"/>
          <w:b/>
          <w:bCs/>
          <w:sz w:val="48"/>
          <w:szCs w:val="56"/>
        </w:rPr>
        <w:t>服务</w:t>
      </w:r>
    </w:p>
    <w:p>
      <w:pPr>
        <w:rPr>
          <w:rFonts w:hint="eastAsia" w:ascii="宋体" w:hAnsi="宋体" w:eastAsia="宋体" w:cs="宋体"/>
          <w:sz w:val="32"/>
        </w:rPr>
      </w:pPr>
    </w:p>
    <w:p>
      <w:pPr>
        <w:pStyle w:val="15"/>
        <w:rPr>
          <w:rFonts w:hint="eastAsia" w:ascii="宋体" w:hAnsi="宋体" w:eastAsia="宋体" w:cs="宋体"/>
        </w:rPr>
      </w:pPr>
    </w:p>
    <w:p>
      <w:pPr>
        <w:ind w:firstLine="1280" w:firstLineChars="400"/>
        <w:rPr>
          <w:rFonts w:hint="eastAsia" w:ascii="宋体" w:hAnsi="宋体" w:eastAsia="宋体" w:cs="宋体"/>
          <w:sz w:val="32"/>
        </w:rPr>
      </w:pPr>
    </w:p>
    <w:p>
      <w:pPr>
        <w:rPr>
          <w:rFonts w:hint="eastAsia" w:ascii="宋体" w:hAnsi="宋体" w:eastAsia="宋体" w:cs="宋体"/>
          <w:sz w:val="32"/>
        </w:rPr>
      </w:pPr>
    </w:p>
    <w:p>
      <w:pPr>
        <w:rPr>
          <w:rFonts w:hint="eastAsia" w:ascii="宋体" w:hAnsi="宋体" w:eastAsia="宋体" w:cs="宋体"/>
          <w:sz w:val="32"/>
        </w:rPr>
      </w:pPr>
    </w:p>
    <w:p>
      <w:pPr>
        <w:pStyle w:val="15"/>
        <w:rPr>
          <w:rFonts w:hint="eastAsia" w:ascii="宋体" w:hAnsi="宋体" w:eastAsia="宋体" w:cs="宋体"/>
        </w:rPr>
      </w:pPr>
    </w:p>
    <w:p>
      <w:pPr>
        <w:pStyle w:val="15"/>
        <w:rPr>
          <w:rFonts w:hint="eastAsia" w:ascii="宋体" w:hAnsi="宋体" w:eastAsia="宋体" w:cs="宋体"/>
          <w:szCs w:val="20"/>
          <w:lang w:bidi="th-TH"/>
        </w:rPr>
      </w:pPr>
    </w:p>
    <w:p>
      <w:pPr>
        <w:ind w:firstLine="120" w:firstLineChars="50"/>
        <w:rPr>
          <w:rFonts w:hint="eastAsia" w:ascii="宋体" w:hAnsi="宋体" w:eastAsia="宋体" w:cs="宋体"/>
          <w:color w:val="000000"/>
          <w:kern w:val="0"/>
          <w:sz w:val="24"/>
          <w:szCs w:val="20"/>
          <w:lang w:bidi="th-TH"/>
        </w:rPr>
      </w:pPr>
    </w:p>
    <w:p>
      <w:pPr>
        <w:pStyle w:val="15"/>
        <w:rPr>
          <w:rFonts w:hint="eastAsia" w:ascii="宋体" w:hAnsi="宋体" w:eastAsia="宋体" w:cs="宋体"/>
          <w:lang w:bidi="th-TH"/>
        </w:rPr>
      </w:pPr>
    </w:p>
    <w:p>
      <w:pPr>
        <w:spacing w:line="720" w:lineRule="auto"/>
        <w:ind w:firstLine="1767" w:firstLineChars="550"/>
        <w:rPr>
          <w:rFonts w:hint="eastAsia" w:ascii="宋体" w:hAnsi="宋体" w:eastAsia="宋体" w:cs="宋体"/>
          <w:b/>
          <w:sz w:val="32"/>
        </w:rPr>
      </w:pPr>
      <w:r>
        <w:rPr>
          <w:rFonts w:hint="eastAsia" w:ascii="宋体" w:hAnsi="宋体" w:eastAsia="宋体" w:cs="宋体"/>
          <w:b/>
          <w:sz w:val="32"/>
        </w:rPr>
        <w:t>甲方：盐城国丰海上风力发电有限公司</w:t>
      </w:r>
    </w:p>
    <w:p>
      <w:pPr>
        <w:spacing w:line="720" w:lineRule="auto"/>
        <w:ind w:firstLine="1767" w:firstLineChars="550"/>
        <w:rPr>
          <w:rFonts w:hint="eastAsia" w:ascii="宋体" w:hAnsi="宋体" w:eastAsia="宋体" w:cs="宋体"/>
          <w:b/>
          <w:sz w:val="32"/>
        </w:rPr>
      </w:pPr>
      <w:r>
        <w:rPr>
          <w:rFonts w:hint="eastAsia" w:ascii="宋体" w:hAnsi="宋体" w:eastAsia="宋体" w:cs="宋体"/>
          <w:b/>
          <w:sz w:val="32"/>
        </w:rPr>
        <w:t xml:space="preserve">乙方： </w:t>
      </w:r>
    </w:p>
    <w:p>
      <w:pPr>
        <w:rPr>
          <w:rFonts w:hint="eastAsia" w:ascii="宋体" w:hAnsi="宋体" w:eastAsia="宋体" w:cs="宋体"/>
          <w:sz w:val="32"/>
        </w:rPr>
      </w:pPr>
    </w:p>
    <w:p>
      <w:pPr>
        <w:rPr>
          <w:rFonts w:hint="eastAsia" w:ascii="宋体" w:hAnsi="宋体" w:eastAsia="宋体" w:cs="宋体"/>
          <w:sz w:val="32"/>
        </w:rPr>
      </w:pPr>
    </w:p>
    <w:p>
      <w:pPr>
        <w:jc w:val="center"/>
        <w:rPr>
          <w:rFonts w:hint="eastAsia" w:ascii="宋体" w:hAnsi="宋体" w:eastAsia="宋体" w:cs="宋体"/>
          <w:sz w:val="32"/>
        </w:rPr>
      </w:pPr>
      <w:r>
        <w:rPr>
          <w:rFonts w:hint="eastAsia" w:ascii="宋体" w:hAnsi="宋体" w:eastAsia="宋体" w:cs="宋体"/>
          <w:sz w:val="32"/>
        </w:rPr>
        <w:t>日期：</w:t>
      </w:r>
      <w:r>
        <w:rPr>
          <w:rFonts w:hint="eastAsia" w:ascii="宋体" w:hAnsi="宋体" w:eastAsia="宋体" w:cs="宋体"/>
          <w:sz w:val="32"/>
          <w:szCs w:val="32"/>
        </w:rPr>
        <w:t xml:space="preserve">   年    月   日</w:t>
      </w:r>
    </w:p>
    <w:p>
      <w:pPr>
        <w:spacing w:line="500" w:lineRule="exact"/>
        <w:rPr>
          <w:rFonts w:hint="eastAsia" w:ascii="宋体" w:hAnsi="宋体" w:cs="宋体"/>
          <w:sz w:val="30"/>
          <w:szCs w:val="30"/>
        </w:rPr>
      </w:pPr>
    </w:p>
    <w:p>
      <w:pPr>
        <w:pStyle w:val="2"/>
        <w:keepNext w:val="0"/>
        <w:keepLines w:val="0"/>
        <w:spacing w:before="120" w:after="120" w:line="360" w:lineRule="auto"/>
        <w:jc w:val="center"/>
        <w:rPr>
          <w:rFonts w:hint="eastAsia" w:ascii="宋体" w:hAnsi="宋体" w:eastAsia="宋体" w:cs="宋体"/>
          <w:kern w:val="0"/>
          <w:sz w:val="36"/>
          <w:szCs w:val="32"/>
          <w:lang w:val="zh-CN"/>
        </w:rPr>
      </w:pPr>
    </w:p>
    <w:p>
      <w:pPr>
        <w:pStyle w:val="2"/>
        <w:keepNext w:val="0"/>
        <w:keepLines w:val="0"/>
        <w:pageBreakBefore w:val="0"/>
        <w:widowControl w:val="0"/>
        <w:kinsoku/>
        <w:wordWrap/>
        <w:overflowPunct/>
        <w:topLinePunct w:val="0"/>
        <w:autoSpaceDE/>
        <w:autoSpaceDN/>
        <w:bidi w:val="0"/>
        <w:adjustRightInd/>
        <w:snapToGrid/>
        <w:spacing w:before="0" w:after="0" w:line="480" w:lineRule="auto"/>
        <w:jc w:val="center"/>
        <w:textAlignment w:val="auto"/>
        <w:rPr>
          <w:rFonts w:hint="eastAsia" w:ascii="宋体" w:hAnsi="宋体" w:eastAsia="宋体" w:cs="宋体"/>
          <w:kern w:val="0"/>
          <w:sz w:val="36"/>
          <w:szCs w:val="32"/>
          <w:lang w:val="zh-CN"/>
        </w:rPr>
      </w:pPr>
      <w:r>
        <w:rPr>
          <w:rFonts w:hint="eastAsia" w:ascii="宋体" w:hAnsi="宋体" w:eastAsia="宋体" w:cs="宋体"/>
          <w:kern w:val="0"/>
          <w:sz w:val="36"/>
          <w:szCs w:val="32"/>
          <w:lang w:val="zh-CN"/>
        </w:rPr>
        <w:t>盐城国能大丰H5#海上风电场</w:t>
      </w:r>
    </w:p>
    <w:p>
      <w:pPr>
        <w:pStyle w:val="2"/>
        <w:keepNext w:val="0"/>
        <w:keepLines w:val="0"/>
        <w:pageBreakBefore w:val="0"/>
        <w:widowControl w:val="0"/>
        <w:kinsoku/>
        <w:wordWrap/>
        <w:overflowPunct/>
        <w:topLinePunct w:val="0"/>
        <w:autoSpaceDE/>
        <w:autoSpaceDN/>
        <w:bidi w:val="0"/>
        <w:adjustRightInd/>
        <w:snapToGrid/>
        <w:spacing w:before="0" w:after="0" w:line="480" w:lineRule="auto"/>
        <w:jc w:val="center"/>
        <w:textAlignment w:val="auto"/>
        <w:rPr>
          <w:rFonts w:hint="eastAsia" w:ascii="宋体" w:hAnsi="宋体" w:eastAsia="宋体" w:cs="宋体"/>
          <w:kern w:val="0"/>
          <w:sz w:val="36"/>
          <w:szCs w:val="32"/>
          <w:lang w:val="zh-CN"/>
        </w:rPr>
      </w:pPr>
      <w:r>
        <w:rPr>
          <w:rFonts w:hint="eastAsia" w:ascii="宋体" w:hAnsi="宋体" w:eastAsia="宋体" w:cs="宋体"/>
          <w:kern w:val="0"/>
          <w:sz w:val="36"/>
          <w:szCs w:val="32"/>
          <w:lang w:val="zh-CN"/>
        </w:rPr>
        <w:t>变压器油质化验服务</w:t>
      </w:r>
    </w:p>
    <w:p>
      <w:pPr>
        <w:tabs>
          <w:tab w:val="left" w:pos="632"/>
          <w:tab w:val="left" w:pos="790"/>
          <w:tab w:val="left" w:pos="1580"/>
        </w:tabs>
        <w:spacing w:line="360" w:lineRule="auto"/>
        <w:rPr>
          <w:rFonts w:hint="eastAsia" w:ascii="宋体" w:hAnsi="宋体" w:eastAsia="宋体" w:cs="宋体"/>
          <w:b/>
          <w:sz w:val="28"/>
        </w:rPr>
      </w:pPr>
      <w:r>
        <w:rPr>
          <w:rFonts w:hint="eastAsia" w:ascii="宋体" w:hAnsi="宋体" w:eastAsia="宋体" w:cs="宋体"/>
          <w:b/>
          <w:sz w:val="28"/>
        </w:rPr>
        <w:t>甲方：</w:t>
      </w:r>
      <w:r>
        <w:rPr>
          <w:rFonts w:hint="eastAsia" w:ascii="宋体" w:hAnsi="宋体" w:eastAsia="宋体" w:cs="宋体"/>
          <w:b/>
          <w:sz w:val="28"/>
          <w:u w:val="single"/>
        </w:rPr>
        <w:t>盐城国丰海上风力发电有限公司</w:t>
      </w:r>
    </w:p>
    <w:p>
      <w:pPr>
        <w:tabs>
          <w:tab w:val="left" w:pos="632"/>
          <w:tab w:val="left" w:pos="790"/>
          <w:tab w:val="left" w:pos="1580"/>
        </w:tabs>
        <w:spacing w:after="156" w:afterLines="50" w:line="360" w:lineRule="auto"/>
        <w:rPr>
          <w:rFonts w:hint="default" w:ascii="宋体" w:hAnsi="宋体" w:eastAsia="宋体" w:cs="宋体"/>
          <w:b/>
          <w:sz w:val="28"/>
          <w:u w:val="single"/>
          <w:lang w:val="en-US" w:eastAsia="zh-CN"/>
        </w:rPr>
      </w:pPr>
      <w:r>
        <w:rPr>
          <w:rFonts w:hint="eastAsia" w:ascii="宋体" w:hAnsi="宋体" w:eastAsia="宋体" w:cs="宋体"/>
          <w:b/>
          <w:sz w:val="28"/>
        </w:rPr>
        <w:t>乙方：</w:t>
      </w:r>
      <w:r>
        <w:rPr>
          <w:rFonts w:hint="eastAsia" w:ascii="宋体" w:hAnsi="宋体" w:eastAsia="宋体" w:cs="宋体"/>
          <w:b/>
          <w:sz w:val="28"/>
          <w:u w:val="single"/>
          <w:lang w:val="en-US" w:eastAsia="zh-CN"/>
        </w:rPr>
        <w:t xml:space="preserve">                           </w:t>
      </w:r>
    </w:p>
    <w:p>
      <w:pPr>
        <w:tabs>
          <w:tab w:val="left" w:pos="632"/>
          <w:tab w:val="left" w:pos="790"/>
          <w:tab w:val="left" w:pos="1580"/>
        </w:tabs>
        <w:spacing w:line="360" w:lineRule="auto"/>
        <w:ind w:firstLine="588" w:firstLineChars="245"/>
        <w:rPr>
          <w:rFonts w:hint="eastAsia" w:ascii="宋体" w:hAnsi="宋体" w:eastAsia="宋体" w:cs="宋体"/>
          <w:b/>
          <w:sz w:val="24"/>
          <w:u w:val="single"/>
        </w:rPr>
      </w:pPr>
      <w:r>
        <w:rPr>
          <w:rFonts w:hint="eastAsia" w:ascii="宋体" w:hAnsi="宋体" w:eastAsia="宋体" w:cs="宋体"/>
          <w:sz w:val="24"/>
        </w:rPr>
        <w:t>经甲、乙双方友好协商，乙方负责实施盐城国丰风力发电有限公司</w:t>
      </w:r>
      <w:r>
        <w:rPr>
          <w:rFonts w:hint="eastAsia" w:ascii="宋体" w:hAnsi="宋体" w:eastAsia="宋体" w:cs="宋体"/>
          <w:sz w:val="24"/>
          <w:lang w:val="zh-CN"/>
        </w:rPr>
        <w:t>变压器油质化验</w:t>
      </w:r>
      <w:r>
        <w:rPr>
          <w:rFonts w:hint="eastAsia" w:ascii="宋体" w:hAnsi="宋体" w:eastAsia="宋体" w:cs="宋体"/>
          <w:kern w:val="0"/>
          <w:sz w:val="24"/>
          <w:lang w:val="zh-CN"/>
        </w:rPr>
        <w:t>服务，特订</w:t>
      </w:r>
      <w:r>
        <w:rPr>
          <w:rFonts w:hint="eastAsia" w:ascii="宋体" w:hAnsi="宋体" w:eastAsia="宋体" w:cs="宋体"/>
          <w:sz w:val="24"/>
          <w:lang w:val="zh-CN"/>
        </w:rPr>
        <w:t>立合同。</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服务范围及服务内容</w:t>
      </w:r>
    </w:p>
    <w:p>
      <w:pPr>
        <w:pStyle w:val="15"/>
        <w:spacing w:line="360" w:lineRule="auto"/>
        <w:ind w:firstLine="480" w:firstLineChars="200"/>
        <w:rPr>
          <w:rFonts w:hint="eastAsia" w:ascii="宋体" w:hAnsi="宋体" w:eastAsia="宋体" w:cs="宋体"/>
          <w:color w:val="auto"/>
          <w:kern w:val="2"/>
          <w:szCs w:val="21"/>
        </w:rPr>
      </w:pPr>
      <w:r>
        <w:rPr>
          <w:rFonts w:hint="eastAsia" w:ascii="宋体" w:hAnsi="宋体" w:eastAsia="宋体" w:cs="宋体"/>
          <w:color w:val="auto"/>
          <w:kern w:val="2"/>
          <w:szCs w:val="21"/>
        </w:rPr>
        <w:t>（1）项目概况：</w:t>
      </w:r>
    </w:p>
    <w:p>
      <w:pPr>
        <w:pStyle w:val="15"/>
        <w:spacing w:line="360" w:lineRule="auto"/>
        <w:ind w:firstLine="480" w:firstLineChars="200"/>
        <w:rPr>
          <w:rFonts w:hint="eastAsia" w:ascii="宋体" w:hAnsi="宋体" w:eastAsia="宋体" w:cs="宋体"/>
          <w:color w:val="auto"/>
          <w:kern w:val="2"/>
          <w:szCs w:val="21"/>
        </w:rPr>
      </w:pPr>
      <w:r>
        <w:rPr>
          <w:rFonts w:hint="eastAsia" w:ascii="宋体" w:hAnsi="宋体" w:eastAsia="宋体" w:cs="宋体"/>
          <w:szCs w:val="21"/>
        </w:rPr>
        <w:t>盐城国能大丰H5#海上风电场位于江苏大丰近海海域，风电场共安装32台单机容量6.45MW的风电机组，总装机容量206.4MW。设两座220kV海上升压站和一座220kV陆上升压站。</w:t>
      </w:r>
    </w:p>
    <w:p>
      <w:pPr>
        <w:pStyle w:val="15"/>
        <w:spacing w:line="360" w:lineRule="auto"/>
        <w:ind w:firstLine="480" w:firstLineChars="200"/>
        <w:rPr>
          <w:rFonts w:hint="eastAsia" w:ascii="宋体" w:hAnsi="宋体" w:eastAsia="宋体" w:cs="宋体"/>
          <w:color w:val="auto"/>
          <w:kern w:val="2"/>
          <w:szCs w:val="21"/>
        </w:rPr>
      </w:pPr>
      <w:r>
        <w:rPr>
          <w:rFonts w:hint="eastAsia" w:ascii="宋体" w:hAnsi="宋体" w:eastAsia="宋体" w:cs="宋体"/>
          <w:color w:val="auto"/>
          <w:kern w:val="2"/>
          <w:szCs w:val="21"/>
        </w:rPr>
        <w:t xml:space="preserve"> （2）服务范围：</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服务期限</w:t>
      </w:r>
    </w:p>
    <w:p>
      <w:pPr>
        <w:pStyle w:val="15"/>
        <w:spacing w:line="360" w:lineRule="auto"/>
        <w:ind w:firstLine="480" w:firstLineChars="200"/>
        <w:rPr>
          <w:rFonts w:hint="eastAsia" w:ascii="宋体" w:hAnsi="宋体" w:eastAsia="宋体" w:cs="宋体"/>
          <w:szCs w:val="21"/>
        </w:rPr>
      </w:pPr>
      <w:r>
        <w:rPr>
          <w:rFonts w:hint="eastAsia" w:ascii="宋体" w:hAnsi="宋体" w:eastAsia="宋体" w:cs="宋体"/>
          <w:sz w:val="24"/>
          <w:szCs w:val="21"/>
          <w:lang w:val="en-US" w:eastAsia="zh-CN"/>
        </w:rPr>
        <w:t>每份油样需自投标人取得样品后24小时内进行油样化验</w:t>
      </w:r>
      <w:r>
        <w:rPr>
          <w:rFonts w:hint="eastAsia" w:ascii="宋体" w:hAnsi="宋体" w:eastAsia="宋体" w:cs="宋体"/>
          <w:szCs w:val="21"/>
        </w:rPr>
        <w:t>。</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合同价款和支付方式</w:t>
      </w:r>
    </w:p>
    <w:p>
      <w:pPr>
        <w:snapToGrid w:val="0"/>
        <w:spacing w:line="360" w:lineRule="auto"/>
        <w:ind w:firstLine="491" w:firstLineChars="205"/>
        <w:rPr>
          <w:rFonts w:hint="eastAsia" w:ascii="宋体" w:hAnsi="宋体" w:eastAsia="宋体" w:cs="宋体"/>
          <w:sz w:val="24"/>
          <w:lang w:val="zh-CN"/>
        </w:rPr>
      </w:pPr>
      <w:r>
        <w:rPr>
          <w:rFonts w:hint="eastAsia" w:ascii="宋体" w:hAnsi="宋体" w:eastAsia="宋体" w:cs="宋体"/>
          <w:sz w:val="24"/>
          <w:lang w:val="zh-CN"/>
        </w:rPr>
        <w:t>1、检测服务费用</w:t>
      </w:r>
      <w:r>
        <w:rPr>
          <w:rFonts w:hint="eastAsia" w:ascii="宋体" w:hAnsi="宋体" w:eastAsia="宋体" w:cs="宋体"/>
          <w:sz w:val="24"/>
          <w:lang w:val="en-US" w:eastAsia="zh-CN"/>
        </w:rPr>
        <w:t xml:space="preserve">    </w:t>
      </w:r>
      <w:r>
        <w:rPr>
          <w:rFonts w:hint="eastAsia" w:ascii="宋体" w:hAnsi="宋体" w:eastAsia="宋体" w:cs="宋体"/>
          <w:sz w:val="24"/>
          <w:lang w:val="zh-CN"/>
        </w:rPr>
        <w:t>元，税率为</w:t>
      </w:r>
      <w:r>
        <w:rPr>
          <w:rFonts w:hint="eastAsia" w:ascii="宋体" w:hAnsi="宋体" w:eastAsia="宋体" w:cs="宋体"/>
          <w:sz w:val="24"/>
          <w:lang w:val="en-US" w:eastAsia="zh-CN"/>
        </w:rPr>
        <w:t xml:space="preserve">    </w:t>
      </w:r>
      <w:r>
        <w:rPr>
          <w:rFonts w:hint="eastAsia" w:ascii="宋体" w:hAnsi="宋体" w:eastAsia="宋体" w:cs="宋体"/>
          <w:sz w:val="24"/>
          <w:lang w:val="zh-CN"/>
        </w:rPr>
        <w:t>%，大写：</w:t>
      </w:r>
      <w:r>
        <w:rPr>
          <w:rFonts w:hint="eastAsia" w:ascii="宋体" w:hAnsi="宋体" w:eastAsia="宋体" w:cs="宋体"/>
          <w:sz w:val="24"/>
          <w:lang w:val="en-US" w:eastAsia="zh-CN"/>
        </w:rPr>
        <w:t xml:space="preserve">      </w:t>
      </w:r>
      <w:r>
        <w:rPr>
          <w:rFonts w:hint="eastAsia" w:ascii="宋体" w:hAnsi="宋体" w:eastAsia="宋体" w:cs="宋体"/>
          <w:sz w:val="24"/>
          <w:u w:val="single"/>
          <w:lang w:val="zh-CN"/>
        </w:rPr>
        <w:t>整</w:t>
      </w:r>
      <w:r>
        <w:rPr>
          <w:rFonts w:hint="eastAsia" w:ascii="宋体" w:hAnsi="宋体" w:eastAsia="宋体" w:cs="宋体"/>
          <w:sz w:val="24"/>
        </w:rPr>
        <w:t>。</w:t>
      </w:r>
    </w:p>
    <w:p>
      <w:pPr>
        <w:snapToGrid w:val="0"/>
        <w:spacing w:line="360" w:lineRule="auto"/>
        <w:ind w:firstLine="491" w:firstLineChars="205"/>
        <w:rPr>
          <w:rFonts w:hint="eastAsia" w:ascii="宋体" w:hAnsi="宋体" w:eastAsia="宋体" w:cs="宋体"/>
          <w:sz w:val="24"/>
          <w:lang w:val="zh-CN"/>
        </w:rPr>
      </w:pPr>
      <w:r>
        <w:rPr>
          <w:rFonts w:hint="eastAsia" w:ascii="宋体" w:hAnsi="宋体" w:eastAsia="宋体" w:cs="宋体"/>
          <w:sz w:val="24"/>
          <w:lang w:val="zh-CN"/>
        </w:rPr>
        <w:t>2、乙方</w:t>
      </w:r>
      <w:r>
        <w:rPr>
          <w:rFonts w:hint="eastAsia" w:ascii="宋体" w:hAnsi="宋体" w:eastAsia="宋体" w:cs="宋体"/>
          <w:sz w:val="24"/>
          <w:szCs w:val="21"/>
        </w:rPr>
        <w:t>完成全部检测、出具检测报告经甲方验收合格后30日内一次性支付款项</w:t>
      </w:r>
      <w:r>
        <w:rPr>
          <w:rFonts w:hint="eastAsia" w:ascii="宋体" w:hAnsi="宋体" w:eastAsia="宋体" w:cs="宋体"/>
          <w:sz w:val="24"/>
          <w:lang w:val="zh-CN"/>
        </w:rPr>
        <w:t>，</w:t>
      </w:r>
      <w:r>
        <w:rPr>
          <w:rFonts w:hint="eastAsia" w:ascii="宋体" w:hAnsi="宋体" w:eastAsia="宋体" w:cs="宋体"/>
          <w:sz w:val="24"/>
          <w:lang w:val="en-US" w:eastAsia="zh-CN"/>
        </w:rPr>
        <w:t>付款前</w:t>
      </w:r>
      <w:r>
        <w:rPr>
          <w:rFonts w:hint="eastAsia" w:ascii="宋体" w:hAnsi="宋体" w:eastAsia="宋体" w:cs="宋体"/>
          <w:sz w:val="24"/>
          <w:lang w:val="zh-CN"/>
        </w:rPr>
        <w:t>乙方需提供增值税专用发票</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双方的责任义务</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1、甲方的主要义务：</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1.1  在检测方提供服务符合本合同约定的情况下，按照本合同约定支付费用。</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1.2  现场检测时提供必要的协助。</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2、乙方的主要义务：</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  按期完成甲方委托各项检测；并提交检测报告，并对检测数据的正确性、准确性负责。</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2.2  严格按国家规范、标准进行检测，确保数据公正、准确。</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2.3  向甲方提供必要的检测咨询服务。</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2.4  在甲方提出检测并在届时要求的期限内出具检测报告。</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2.5  乙方检测项目必须在其资质范围内；否则所造成的违约责任由乙方承担。</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2.6  乙方应严格遵守国家及地方对建设工程质量试验检测的有关规定。</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2.7  乙方须按照国家规范、规程和地方法规等相关技术规范、规定进行本工程试验检测工作。</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2.8  乙方应按时向甲方书面提供试验检测工作情况报告，并对其完整性、正确性负责。特殊情况应及时提供专题报告；报告的具体格式、内容、份数等必须符合甲方的要求。另外，为了实行试验检测的计算机管理，试验检测报告均应同时上交电子文档。</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2.9 在合同期内，未经甲方书面同意，不得随意更换人员。若确因特殊原因需要更换项目负责人或技术负责人时，须提前7天提交与拟更换人员具备同等或更高资质的人员资质报甲方批准，经甲方批准后更换。</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2.10  如甲方认为乙方人员不称职，应以书面形式通知乙方；乙方在收到通知一周内必须按甲方的要求更换人员。乙方更换的人员应具备同等或更高的资质，并需获得甲方批准。</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2.11  做好试验检测台帐和原始记录，并妥善保管好各类技术资料。</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2.12  乙方对所有技术方法的完备性、稳定性和安全性承担全部责任，对其所有工作人员工作中的失误、疏忽、玩忽职守承担全部责任。</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2.13 在合同执行过程中产生的所有试验检测报告的所有权、著作权均属甲方，乙方有保密的义务，未经甲方书面同意，不得将试验检测结果提供给第三方。</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2.14  乙方如需查阅本工程的有关资料，应征得甲方书面同意。</w:t>
      </w:r>
    </w:p>
    <w:p>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2.15  在整个服务期间，乙方自身的人员工伤事故的保险、人身意外伤害险、设备保险由乙方自行投保，相关费用已包含在合同总价中，并向甲方提供保险凭证。若乙方未投保，由此产生的一切损失由乙方承担。若甲方在前述事件中客观上对外承担了相关责任，则乙方需无条件、足额填补甲方所受损失。</w:t>
      </w:r>
    </w:p>
    <w:p>
      <w:pPr>
        <w:adjustRightInd w:val="0"/>
        <w:snapToGrid w:val="0"/>
        <w:spacing w:line="360" w:lineRule="auto"/>
        <w:ind w:firstLine="480" w:firstLineChars="200"/>
        <w:rPr>
          <w:rFonts w:hint="eastAsia" w:ascii="宋体" w:hAnsi="宋体" w:eastAsia="宋体" w:cs="宋体"/>
          <w:sz w:val="24"/>
          <w:lang w:val="zh-CN"/>
        </w:rPr>
      </w:pPr>
      <w:r>
        <w:rPr>
          <w:rFonts w:hint="eastAsia" w:ascii="宋体" w:hAnsi="宋体" w:eastAsia="宋体" w:cs="宋体"/>
          <w:sz w:val="24"/>
        </w:rPr>
        <w:t>2.16  对不合格品及时向甲方报告。</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安全执业</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乙方进场开展检测工作，应符合国家、行业管理相关规定，严格按照安全操作规程实施安全检测。乙方在此项服务过程中，自行做好安全防护工作，所有安全责任自负。凡是乙方原因造成的人身意外伤害或安全事故等一切安全事故，或相关一切费用或民事、刑事责任，均由乙方自行负责，与甲方无关。</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争议解决</w:t>
      </w:r>
    </w:p>
    <w:p>
      <w:pPr>
        <w:autoSpaceDE w:val="0"/>
        <w:autoSpaceDN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甲、乙双方约定，签订合同后凡因执行与本合同有关的一切争议，当和解或调解不成时，依法向甲方所在地的人民法院提起诉讼。</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 xml:space="preserve">违约责任      </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1、在合同履行期间，甲方要求终止或解除合同，乙方已开始服务工作的，甲方应根据乙方已进行的、对甲方有实际价值的、合格工作量支付费用。</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乙方提供的资料及文件出现的遗漏或错误的，均由乙方自行负责修改或补充（工期含在整个服务工期内）。由于乙方原因造成质量事故或损失，乙方除承担全部赔偿责任与负责采取补救措施外，应免收受损失部分的服务费，并将处以2000元/次罚款。</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3、由于乙方自身原因，造成服务期限延误，每延误一天，应减收该项目应收服务费的5%。</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4、合同生效后，乙方要求终止或解除合同，乙方应向甲方返还已收取的服务费并赔偿甲方的损失。</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5、合同生效后，若乙方不按合同约定履行职责，甲方有权终止同乙方合同关系，清退其出场，已完工程量不予结算；且甲方有权要求乙方赔偿甲方因此而造成的损失。</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6、乙方未按技术要求进行试验检测或不能满足</w:t>
      </w:r>
      <w:r>
        <w:rPr>
          <w:rFonts w:hint="eastAsia" w:ascii="宋体" w:hAnsi="宋体" w:eastAsia="宋体" w:cs="宋体"/>
          <w:kern w:val="0"/>
          <w:sz w:val="24"/>
          <w:lang w:val="en-US" w:eastAsia="zh-CN"/>
        </w:rPr>
        <w:t>甲方</w:t>
      </w:r>
      <w:r>
        <w:rPr>
          <w:rFonts w:hint="eastAsia" w:ascii="宋体" w:hAnsi="宋体" w:eastAsia="宋体" w:cs="宋体"/>
          <w:kern w:val="0"/>
          <w:sz w:val="24"/>
        </w:rPr>
        <w:t>需要时，乙方无条件返工，由此造成的损失由乙方承担。</w:t>
      </w:r>
    </w:p>
    <w:p>
      <w:pPr>
        <w:numPr>
          <w:ilvl w:val="0"/>
          <w:numId w:val="3"/>
        </w:numPr>
        <w:snapToGrid w:val="0"/>
        <w:spacing w:before="156" w:beforeLines="50" w:line="360" w:lineRule="auto"/>
        <w:rPr>
          <w:rFonts w:hint="eastAsia" w:ascii="宋体" w:hAnsi="宋体" w:eastAsia="宋体" w:cs="宋体"/>
          <w:b/>
          <w:sz w:val="28"/>
          <w:lang w:val="zh-CN"/>
        </w:rPr>
      </w:pPr>
      <w:r>
        <w:rPr>
          <w:rFonts w:hint="eastAsia" w:ascii="宋体" w:hAnsi="宋体" w:eastAsia="宋体" w:cs="宋体"/>
          <w:b/>
          <w:sz w:val="28"/>
          <w:lang w:val="zh-CN"/>
        </w:rPr>
        <w:t>其它</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1、合同自双方代表签字盖章之日起生效，自双方的主要义务履行完毕之日起终止。</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2、合同未尽事宜由双方协商解决。</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3、合同一式拾份，甲方陆份，乙方肆份，具有同等法律效力。</w:t>
      </w:r>
    </w:p>
    <w:p>
      <w:pPr>
        <w:autoSpaceDE w:val="0"/>
        <w:autoSpaceDN w:val="0"/>
        <w:spacing w:line="360" w:lineRule="auto"/>
        <w:ind w:firstLine="480" w:firstLineChars="200"/>
        <w:jc w:val="left"/>
        <w:rPr>
          <w:rFonts w:hint="eastAsia" w:ascii="宋体" w:hAnsi="宋体" w:eastAsia="宋体" w:cs="宋体"/>
          <w:kern w:val="0"/>
          <w:sz w:val="24"/>
        </w:rPr>
      </w:pPr>
    </w:p>
    <w:p>
      <w:pPr>
        <w:autoSpaceDE w:val="0"/>
        <w:autoSpaceDN w:val="0"/>
        <w:spacing w:line="360" w:lineRule="auto"/>
        <w:ind w:firstLine="480" w:firstLineChars="200"/>
        <w:jc w:val="left"/>
        <w:rPr>
          <w:rFonts w:hint="eastAsia" w:ascii="宋体" w:hAnsi="宋体" w:eastAsia="宋体" w:cs="宋体"/>
          <w:sz w:val="24"/>
          <w:lang w:val="zh-CN"/>
        </w:rPr>
      </w:pPr>
      <w:r>
        <w:rPr>
          <w:rFonts w:hint="eastAsia" w:ascii="宋体" w:hAnsi="宋体" w:eastAsia="宋体" w:cs="宋体"/>
          <w:kern w:val="0"/>
          <w:sz w:val="24"/>
        </w:rPr>
        <w:t>（以下无正文）</w:t>
      </w:r>
    </w:p>
    <w:p>
      <w:pPr>
        <w:autoSpaceDE w:val="0"/>
        <w:autoSpaceDN w:val="0"/>
        <w:spacing w:line="360" w:lineRule="auto"/>
        <w:ind w:firstLine="480" w:firstLineChars="200"/>
        <w:jc w:val="left"/>
        <w:rPr>
          <w:rFonts w:hint="eastAsia" w:ascii="宋体" w:hAnsi="宋体" w:eastAsia="宋体" w:cs="宋体"/>
          <w:kern w:val="0"/>
          <w:sz w:val="24"/>
        </w:rPr>
      </w:pP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甲方（签章）：                     乙方（签章）：</w:t>
      </w:r>
    </w:p>
    <w:p>
      <w:pPr>
        <w:autoSpaceDE w:val="0"/>
        <w:autoSpaceDN w:val="0"/>
        <w:spacing w:line="360" w:lineRule="auto"/>
        <w:ind w:firstLine="480" w:firstLineChars="200"/>
        <w:jc w:val="left"/>
        <w:rPr>
          <w:rFonts w:hint="eastAsia" w:ascii="宋体" w:hAnsi="宋体" w:eastAsia="宋体" w:cs="宋体"/>
          <w:kern w:val="0"/>
          <w:sz w:val="24"/>
        </w:rPr>
      </w:pP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法定代表人（签字或盖章）：         法定代表人（签字或盖章）：</w:t>
      </w:r>
    </w:p>
    <w:p>
      <w:pPr>
        <w:autoSpaceDE w:val="0"/>
        <w:autoSpaceDN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或授权代表人                       或授权代表人</w:t>
      </w:r>
    </w:p>
    <w:p>
      <w:pPr>
        <w:autoSpaceDE w:val="0"/>
        <w:autoSpaceDN w:val="0"/>
        <w:spacing w:line="360" w:lineRule="auto"/>
        <w:ind w:firstLine="480" w:firstLineChars="200"/>
        <w:jc w:val="left"/>
        <w:rPr>
          <w:rFonts w:hint="eastAsia" w:ascii="宋体" w:hAnsi="宋体" w:eastAsia="宋体" w:cs="宋体"/>
          <w:kern w:val="0"/>
          <w:sz w:val="24"/>
        </w:rPr>
      </w:pPr>
    </w:p>
    <w:p>
      <w:pPr>
        <w:autoSpaceDE w:val="0"/>
        <w:autoSpaceDN w:val="0"/>
        <w:spacing w:line="360" w:lineRule="auto"/>
        <w:ind w:left="5940" w:leftChars="200" w:hanging="5520" w:hangingChars="2300"/>
        <w:jc w:val="left"/>
        <w:rPr>
          <w:rFonts w:hint="eastAsia" w:ascii="宋体" w:hAnsi="宋体" w:eastAsia="宋体" w:cs="宋体"/>
          <w:kern w:val="0"/>
          <w:sz w:val="24"/>
        </w:rPr>
      </w:pPr>
      <w:r>
        <w:rPr>
          <w:rFonts w:hint="eastAsia" w:ascii="宋体" w:hAnsi="宋体" w:eastAsia="宋体" w:cs="宋体"/>
          <w:kern w:val="0"/>
          <w:sz w:val="24"/>
        </w:rPr>
        <w:t>开户银行：</w:t>
      </w:r>
      <w:r>
        <w:rPr>
          <w:rFonts w:hint="eastAsia" w:ascii="宋体" w:hAnsi="宋体" w:eastAsia="宋体" w:cs="宋体"/>
          <w:kern w:val="0"/>
          <w:sz w:val="32"/>
        </w:rPr>
        <w:t xml:space="preserve">   </w:t>
      </w:r>
      <w:r>
        <w:rPr>
          <w:rFonts w:hint="eastAsia" w:ascii="宋体" w:hAnsi="宋体" w:eastAsia="宋体" w:cs="宋体"/>
          <w:kern w:val="0"/>
          <w:sz w:val="24"/>
        </w:rPr>
        <w:t xml:space="preserve">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开户银行：</w:t>
      </w:r>
    </w:p>
    <w:p>
      <w:pPr>
        <w:autoSpaceDE w:val="0"/>
        <w:autoSpaceDN w:val="0"/>
        <w:spacing w:line="360" w:lineRule="auto"/>
        <w:ind w:firstLine="480" w:firstLineChars="200"/>
        <w:jc w:val="left"/>
        <w:rPr>
          <w:rFonts w:hint="eastAsia" w:ascii="宋体" w:hAnsi="宋体" w:eastAsia="宋体" w:cs="宋体"/>
          <w:kern w:val="0"/>
          <w:sz w:val="32"/>
        </w:rPr>
      </w:pPr>
      <w:r>
        <w:rPr>
          <w:rFonts w:hint="eastAsia" w:ascii="宋体" w:hAnsi="宋体" w:eastAsia="宋体" w:cs="宋体"/>
          <w:kern w:val="0"/>
          <w:sz w:val="24"/>
        </w:rPr>
        <w:t>账号：</w:t>
      </w:r>
      <w:r>
        <w:rPr>
          <w:rFonts w:hint="eastAsia" w:ascii="宋体" w:hAnsi="宋体" w:eastAsia="宋体" w:cs="宋体"/>
          <w:kern w:val="0"/>
          <w:sz w:val="32"/>
        </w:rPr>
        <w:t xml:space="preserve">  </w:t>
      </w:r>
      <w:r>
        <w:rPr>
          <w:rFonts w:hint="eastAsia" w:ascii="宋体" w:hAnsi="宋体" w:eastAsia="宋体" w:cs="宋体"/>
          <w:kern w:val="0"/>
          <w:sz w:val="24"/>
        </w:rPr>
        <w:t xml:space="preserve">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账号：</w:t>
      </w:r>
    </w:p>
    <w:p>
      <w:pPr>
        <w:autoSpaceDE w:val="0"/>
        <w:autoSpaceDN w:val="0"/>
        <w:spacing w:line="360" w:lineRule="auto"/>
        <w:ind w:firstLine="960" w:firstLineChars="400"/>
        <w:jc w:val="left"/>
        <w:rPr>
          <w:rFonts w:hint="eastAsia" w:ascii="宋体" w:hAnsi="宋体" w:eastAsia="宋体" w:cs="宋体"/>
          <w:kern w:val="0"/>
          <w:sz w:val="24"/>
        </w:rPr>
      </w:pPr>
      <w:r>
        <w:rPr>
          <w:rFonts w:hint="eastAsia" w:ascii="宋体" w:hAnsi="宋体" w:eastAsia="宋体" w:cs="宋体"/>
          <w:kern w:val="0"/>
          <w:sz w:val="24"/>
        </w:rPr>
        <w:t xml:space="preserve">年    月   日                  </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年   月   日</w:t>
      </w:r>
    </w:p>
    <w:p>
      <w:pPr>
        <w:pStyle w:val="15"/>
        <w:rPr>
          <w:rFonts w:hint="default" w:cstheme="minorBidi"/>
          <w:color w:val="auto"/>
          <w:kern w:val="2"/>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0AF759"/>
    <w:multiLevelType w:val="singleLevel"/>
    <w:tmpl w:val="580AF759"/>
    <w:lvl w:ilvl="0" w:tentative="0">
      <w:start w:val="1"/>
      <w:numFmt w:val="chineseCounting"/>
      <w:suff w:val="nothing"/>
      <w:lvlText w:val="%1、"/>
      <w:lvlJc w:val="left"/>
    </w:lvl>
  </w:abstractNum>
  <w:abstractNum w:abstractNumId="1">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
    <w:nsid w:val="7DB72544"/>
    <w:multiLevelType w:val="multilevel"/>
    <w:tmpl w:val="7DB7254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lvlText w:val="%3)"/>
      <w:lvlJc w:val="lef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BlMjk4M2MxODNhMTI0OWM1NWYyOWQwYzJmMTNlM2IifQ=="/>
  </w:docVars>
  <w:rsids>
    <w:rsidRoot w:val="00427E8C"/>
    <w:rsid w:val="00005B77"/>
    <w:rsid w:val="00014C2A"/>
    <w:rsid w:val="00044E8A"/>
    <w:rsid w:val="001412D1"/>
    <w:rsid w:val="00175472"/>
    <w:rsid w:val="00183DAA"/>
    <w:rsid w:val="001C312D"/>
    <w:rsid w:val="00215D61"/>
    <w:rsid w:val="00225447"/>
    <w:rsid w:val="00241154"/>
    <w:rsid w:val="00281FE3"/>
    <w:rsid w:val="00285A70"/>
    <w:rsid w:val="002E429E"/>
    <w:rsid w:val="00314756"/>
    <w:rsid w:val="00351CAC"/>
    <w:rsid w:val="00351FEF"/>
    <w:rsid w:val="00381963"/>
    <w:rsid w:val="00386195"/>
    <w:rsid w:val="003A4449"/>
    <w:rsid w:val="003D0E10"/>
    <w:rsid w:val="003F3B54"/>
    <w:rsid w:val="00402FFD"/>
    <w:rsid w:val="00415D3D"/>
    <w:rsid w:val="00427E8C"/>
    <w:rsid w:val="00451D7A"/>
    <w:rsid w:val="00485839"/>
    <w:rsid w:val="004C0745"/>
    <w:rsid w:val="004C4EB1"/>
    <w:rsid w:val="0051784E"/>
    <w:rsid w:val="00641E2A"/>
    <w:rsid w:val="00682E33"/>
    <w:rsid w:val="00684EAE"/>
    <w:rsid w:val="006A0C8C"/>
    <w:rsid w:val="006B0E7D"/>
    <w:rsid w:val="006C6CED"/>
    <w:rsid w:val="0071466A"/>
    <w:rsid w:val="007352D7"/>
    <w:rsid w:val="00755B94"/>
    <w:rsid w:val="007930DD"/>
    <w:rsid w:val="007A70DF"/>
    <w:rsid w:val="007E439F"/>
    <w:rsid w:val="007F3298"/>
    <w:rsid w:val="00803EE3"/>
    <w:rsid w:val="0088143A"/>
    <w:rsid w:val="00881E67"/>
    <w:rsid w:val="00885F18"/>
    <w:rsid w:val="008D44BF"/>
    <w:rsid w:val="008D716F"/>
    <w:rsid w:val="00900500"/>
    <w:rsid w:val="00917767"/>
    <w:rsid w:val="00927367"/>
    <w:rsid w:val="00933E31"/>
    <w:rsid w:val="00976349"/>
    <w:rsid w:val="009C3161"/>
    <w:rsid w:val="009D2009"/>
    <w:rsid w:val="00A03B6E"/>
    <w:rsid w:val="00A1189F"/>
    <w:rsid w:val="00A140F8"/>
    <w:rsid w:val="00A42487"/>
    <w:rsid w:val="00A73F85"/>
    <w:rsid w:val="00A76648"/>
    <w:rsid w:val="00A81D6B"/>
    <w:rsid w:val="00AB16E8"/>
    <w:rsid w:val="00AB2711"/>
    <w:rsid w:val="00AC4835"/>
    <w:rsid w:val="00B04AE5"/>
    <w:rsid w:val="00B336ED"/>
    <w:rsid w:val="00C6503B"/>
    <w:rsid w:val="00CD65FA"/>
    <w:rsid w:val="00CE2F22"/>
    <w:rsid w:val="00CE6D8C"/>
    <w:rsid w:val="00D471FB"/>
    <w:rsid w:val="00D75944"/>
    <w:rsid w:val="00E04394"/>
    <w:rsid w:val="00E879C4"/>
    <w:rsid w:val="00EC318E"/>
    <w:rsid w:val="011A24F4"/>
    <w:rsid w:val="013E4434"/>
    <w:rsid w:val="01505F15"/>
    <w:rsid w:val="01E118B0"/>
    <w:rsid w:val="029D33DC"/>
    <w:rsid w:val="034B2E38"/>
    <w:rsid w:val="048E7480"/>
    <w:rsid w:val="05831602"/>
    <w:rsid w:val="071D4AEC"/>
    <w:rsid w:val="074438CD"/>
    <w:rsid w:val="07CE2BC3"/>
    <w:rsid w:val="09D04097"/>
    <w:rsid w:val="0A4F76B2"/>
    <w:rsid w:val="0A6F4340"/>
    <w:rsid w:val="0B195170"/>
    <w:rsid w:val="0DA665D0"/>
    <w:rsid w:val="0F5E7E3E"/>
    <w:rsid w:val="111E1B8C"/>
    <w:rsid w:val="13BC1734"/>
    <w:rsid w:val="13E40E6B"/>
    <w:rsid w:val="161D2412"/>
    <w:rsid w:val="188629E4"/>
    <w:rsid w:val="19DB038C"/>
    <w:rsid w:val="1A6920CA"/>
    <w:rsid w:val="1A937147"/>
    <w:rsid w:val="1C874A89"/>
    <w:rsid w:val="1C8B37EB"/>
    <w:rsid w:val="1DE101C9"/>
    <w:rsid w:val="1FA52381"/>
    <w:rsid w:val="20AC4ABE"/>
    <w:rsid w:val="224C6559"/>
    <w:rsid w:val="226715E5"/>
    <w:rsid w:val="22E04EF3"/>
    <w:rsid w:val="22E744D4"/>
    <w:rsid w:val="22F97D63"/>
    <w:rsid w:val="23A91789"/>
    <w:rsid w:val="258C4EBE"/>
    <w:rsid w:val="2635037A"/>
    <w:rsid w:val="277B343D"/>
    <w:rsid w:val="286D43B3"/>
    <w:rsid w:val="29451A9A"/>
    <w:rsid w:val="2C5524AE"/>
    <w:rsid w:val="2C5A1872"/>
    <w:rsid w:val="2D0F6B83"/>
    <w:rsid w:val="2DEE2BBA"/>
    <w:rsid w:val="2E690C00"/>
    <w:rsid w:val="2E9501E9"/>
    <w:rsid w:val="307B44AD"/>
    <w:rsid w:val="315A2315"/>
    <w:rsid w:val="373C0842"/>
    <w:rsid w:val="38C70290"/>
    <w:rsid w:val="3A520308"/>
    <w:rsid w:val="3AC32CD9"/>
    <w:rsid w:val="3CF44222"/>
    <w:rsid w:val="3D4F6AA6"/>
    <w:rsid w:val="3D94095C"/>
    <w:rsid w:val="3E0D0275"/>
    <w:rsid w:val="3E2A79A7"/>
    <w:rsid w:val="3EA13331"/>
    <w:rsid w:val="3EB219E2"/>
    <w:rsid w:val="3FDB2873"/>
    <w:rsid w:val="400E2C48"/>
    <w:rsid w:val="41EF2605"/>
    <w:rsid w:val="446F7A2D"/>
    <w:rsid w:val="44CD5688"/>
    <w:rsid w:val="45444B57"/>
    <w:rsid w:val="45C75D73"/>
    <w:rsid w:val="46276120"/>
    <w:rsid w:val="468A5331"/>
    <w:rsid w:val="481608EC"/>
    <w:rsid w:val="4A87260C"/>
    <w:rsid w:val="4BA31446"/>
    <w:rsid w:val="4BC32B39"/>
    <w:rsid w:val="4CA7245A"/>
    <w:rsid w:val="4CAF7C4A"/>
    <w:rsid w:val="4FA71C3F"/>
    <w:rsid w:val="4FCE7CFE"/>
    <w:rsid w:val="4FED287A"/>
    <w:rsid w:val="50334005"/>
    <w:rsid w:val="50BB7B5F"/>
    <w:rsid w:val="51DB1186"/>
    <w:rsid w:val="523C4674"/>
    <w:rsid w:val="52B21B59"/>
    <w:rsid w:val="52D4036E"/>
    <w:rsid w:val="547F146C"/>
    <w:rsid w:val="54AA6F8B"/>
    <w:rsid w:val="54B91572"/>
    <w:rsid w:val="55096BAC"/>
    <w:rsid w:val="554D57DE"/>
    <w:rsid w:val="55713605"/>
    <w:rsid w:val="56004989"/>
    <w:rsid w:val="567F61F6"/>
    <w:rsid w:val="56867584"/>
    <w:rsid w:val="56F52014"/>
    <w:rsid w:val="59683D55"/>
    <w:rsid w:val="596F145A"/>
    <w:rsid w:val="5A1F7AD4"/>
    <w:rsid w:val="5A24647E"/>
    <w:rsid w:val="5A513A05"/>
    <w:rsid w:val="5A9606EA"/>
    <w:rsid w:val="5D610403"/>
    <w:rsid w:val="5E9203C2"/>
    <w:rsid w:val="60341DFF"/>
    <w:rsid w:val="60EE6452"/>
    <w:rsid w:val="613F280A"/>
    <w:rsid w:val="61903065"/>
    <w:rsid w:val="646F3406"/>
    <w:rsid w:val="649B244D"/>
    <w:rsid w:val="64AE394D"/>
    <w:rsid w:val="65053D6A"/>
    <w:rsid w:val="6660394E"/>
    <w:rsid w:val="6670437E"/>
    <w:rsid w:val="6732696D"/>
    <w:rsid w:val="69935DE8"/>
    <w:rsid w:val="6A3B129C"/>
    <w:rsid w:val="6C2C6080"/>
    <w:rsid w:val="6E22598D"/>
    <w:rsid w:val="6E61380A"/>
    <w:rsid w:val="706A53C9"/>
    <w:rsid w:val="71811EAF"/>
    <w:rsid w:val="71D92806"/>
    <w:rsid w:val="73CB43D1"/>
    <w:rsid w:val="76A74C8A"/>
    <w:rsid w:val="76D637B8"/>
    <w:rsid w:val="7808209B"/>
    <w:rsid w:val="78727511"/>
    <w:rsid w:val="78BC253A"/>
    <w:rsid w:val="7C0F6613"/>
    <w:rsid w:val="7D221505"/>
    <w:rsid w:val="7FD10FC1"/>
    <w:rsid w:val="7FDE1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9"/>
    <w:pPr>
      <w:keepNext/>
      <w:keepLines/>
      <w:spacing w:before="340" w:after="330" w:line="576" w:lineRule="auto"/>
      <w:outlineLvl w:val="0"/>
    </w:pPr>
    <w:rPr>
      <w:b/>
      <w:bCs/>
      <w:kern w:val="44"/>
      <w:sz w:val="44"/>
      <w:szCs w:val="44"/>
    </w:rPr>
  </w:style>
  <w:style w:type="paragraph" w:styleId="3">
    <w:name w:val="heading 4"/>
    <w:basedOn w:val="1"/>
    <w:next w:val="1"/>
    <w:autoRedefine/>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autoRedefine/>
    <w:semiHidden/>
    <w:unhideWhenUsed/>
    <w:qFormat/>
    <w:uiPriority w:val="99"/>
    <w:pPr>
      <w:jc w:val="left"/>
    </w:pPr>
  </w:style>
  <w:style w:type="paragraph" w:styleId="5">
    <w:name w:val="Body Text"/>
    <w:basedOn w:val="1"/>
    <w:link w:val="20"/>
    <w:autoRedefine/>
    <w:semiHidden/>
    <w:unhideWhenUsed/>
    <w:qFormat/>
    <w:uiPriority w:val="99"/>
    <w:pPr>
      <w:spacing w:after="120"/>
    </w:p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0"/>
    <w:pPr>
      <w:spacing w:beforeAutospacing="1" w:afterAutospacing="1"/>
      <w:jc w:val="left"/>
    </w:pPr>
    <w:rPr>
      <w:rFonts w:cs="Times New Roman"/>
      <w:kern w:val="0"/>
      <w:sz w:val="24"/>
    </w:rPr>
  </w:style>
  <w:style w:type="paragraph" w:styleId="9">
    <w:name w:val="Body Text First Indent"/>
    <w:basedOn w:val="1"/>
    <w:link w:val="21"/>
    <w:autoRedefine/>
    <w:qFormat/>
    <w:uiPriority w:val="0"/>
    <w:pPr>
      <w:spacing w:line="312" w:lineRule="auto"/>
      <w:ind w:firstLine="420"/>
    </w:pPr>
    <w:rPr>
      <w:rFonts w:ascii="Times New Roman" w:hAnsi="Times New Roman" w:eastAsia="宋体" w:cs="Times New Roman"/>
      <w:szCs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22"/>
    <w:rPr>
      <w:b/>
      <w:bCs/>
    </w:rPr>
  </w:style>
  <w:style w:type="character" w:styleId="14">
    <w:name w:val="Hyperlink"/>
    <w:basedOn w:val="12"/>
    <w:autoRedefine/>
    <w:unhideWhenUsed/>
    <w:qFormat/>
    <w:uiPriority w:val="99"/>
    <w:rPr>
      <w:color w:val="0000FF"/>
      <w:u w:val="single"/>
    </w:rPr>
  </w:style>
  <w:style w:type="paragraph" w:customStyle="1" w:styleId="15">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character" w:customStyle="1" w:styleId="16">
    <w:name w:val="页眉 字符"/>
    <w:basedOn w:val="12"/>
    <w:link w:val="7"/>
    <w:autoRedefine/>
    <w:qFormat/>
    <w:uiPriority w:val="99"/>
    <w:rPr>
      <w:sz w:val="18"/>
      <w:szCs w:val="18"/>
    </w:rPr>
  </w:style>
  <w:style w:type="character" w:customStyle="1" w:styleId="17">
    <w:name w:val="页脚 字符"/>
    <w:basedOn w:val="12"/>
    <w:link w:val="6"/>
    <w:autoRedefine/>
    <w:qFormat/>
    <w:uiPriority w:val="99"/>
    <w:rPr>
      <w:sz w:val="18"/>
      <w:szCs w:val="18"/>
    </w:rPr>
  </w:style>
  <w:style w:type="character" w:customStyle="1" w:styleId="18">
    <w:name w:val="fontstyle01"/>
    <w:basedOn w:val="12"/>
    <w:autoRedefine/>
    <w:qFormat/>
    <w:uiPriority w:val="0"/>
    <w:rPr>
      <w:rFonts w:hint="default" w:ascii="CIDFont+F2" w:hAnsi="CIDFont+F2"/>
      <w:color w:val="000000"/>
      <w:sz w:val="16"/>
      <w:szCs w:val="16"/>
    </w:rPr>
  </w:style>
  <w:style w:type="paragraph" w:customStyle="1" w:styleId="19">
    <w:name w:val="p0"/>
    <w:basedOn w:val="1"/>
    <w:autoRedefine/>
    <w:qFormat/>
    <w:uiPriority w:val="0"/>
    <w:pPr>
      <w:widowControl/>
      <w:spacing w:before="100" w:beforeAutospacing="1" w:after="100" w:afterAutospacing="1"/>
      <w:jc w:val="left"/>
    </w:pPr>
    <w:rPr>
      <w:rFonts w:hint="eastAsia" w:ascii="宋体" w:hAnsi="宋体" w:eastAsia="宋体" w:cs="Times New Roman"/>
      <w:sz w:val="24"/>
      <w:szCs w:val="20"/>
    </w:rPr>
  </w:style>
  <w:style w:type="character" w:customStyle="1" w:styleId="20">
    <w:name w:val="正文文本 字符"/>
    <w:basedOn w:val="12"/>
    <w:link w:val="5"/>
    <w:autoRedefine/>
    <w:semiHidden/>
    <w:qFormat/>
    <w:uiPriority w:val="99"/>
    <w:rPr>
      <w:rFonts w:asciiTheme="minorHAnsi" w:hAnsiTheme="minorHAnsi" w:eastAsiaTheme="minorEastAsia" w:cstheme="minorBidi"/>
      <w:kern w:val="2"/>
      <w:sz w:val="21"/>
      <w:szCs w:val="22"/>
    </w:rPr>
  </w:style>
  <w:style w:type="character" w:customStyle="1" w:styleId="21">
    <w:name w:val="正文首行缩进 字符"/>
    <w:basedOn w:val="20"/>
    <w:link w:val="9"/>
    <w:autoRedefine/>
    <w:qFormat/>
    <w:uiPriority w:val="0"/>
    <w:rPr>
      <w:rFonts w:asciiTheme="minorHAnsi" w:hAnsiTheme="minorHAnsi" w:eastAsiaTheme="minorEastAsia" w:cstheme="minorBidi"/>
      <w:kern w:val="2"/>
      <w:sz w:val="21"/>
      <w:szCs w:val="24"/>
    </w:rPr>
  </w:style>
  <w:style w:type="paragraph" w:customStyle="1" w:styleId="22">
    <w:name w:val="Table Paragraph"/>
    <w:basedOn w:val="1"/>
    <w:autoRedefine/>
    <w:qFormat/>
    <w:uiPriority w:val="1"/>
    <w:pPr>
      <w:autoSpaceDE w:val="0"/>
      <w:autoSpaceDN w:val="0"/>
      <w:jc w:val="left"/>
    </w:pPr>
    <w:rPr>
      <w:rFonts w:ascii="宋体" w:hAnsi="宋体" w:eastAsia="宋体" w:cs="宋体"/>
      <w:kern w:val="0"/>
      <w:sz w:val="22"/>
      <w:lang w:val="zh-CN" w:bidi="zh-CN"/>
    </w:rPr>
  </w:style>
  <w:style w:type="paragraph" w:customStyle="1" w:styleId="23">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首行缩进1"/>
    <w:basedOn w:val="23"/>
    <w:autoRedefine/>
    <w:qFormat/>
    <w:uiPriority w:val="0"/>
    <w:pPr>
      <w:spacing w:line="312" w:lineRule="auto"/>
    </w:pPr>
  </w:style>
  <w:style w:type="paragraph" w:styleId="2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218</Words>
  <Characters>1246</Characters>
  <Lines>10</Lines>
  <Paragraphs>2</Paragraphs>
  <TotalTime>1</TotalTime>
  <ScaleCrop>false</ScaleCrop>
  <LinksUpToDate>false</LinksUpToDate>
  <CharactersWithSpaces>1462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心之所向 身之所往</cp:lastModifiedBy>
  <dcterms:modified xsi:type="dcterms:W3CDTF">2024-04-12T07:13:13Z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E026313E9C4C42448434308D0BFEA245_13</vt:lpwstr>
  </property>
</Properties>
</file>