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61521">
      <w:pPr>
        <w:rPr>
          <w:b/>
          <w:bCs/>
          <w:sz w:val="28"/>
        </w:rPr>
      </w:pPr>
      <w:bookmarkStart w:id="7" w:name="_GoBack"/>
      <w:bookmarkEnd w:id="7"/>
    </w:p>
    <w:p w14:paraId="32D83755">
      <w:pPr>
        <w:pStyle w:val="15"/>
        <w:rPr>
          <w:rFonts w:hint="default" w:cstheme="minorBidi"/>
          <w:color w:val="auto"/>
          <w:kern w:val="2"/>
          <w:szCs w:val="21"/>
        </w:rPr>
      </w:pPr>
      <w:r>
        <w:rPr>
          <w:rFonts w:cstheme="minorBidi"/>
          <w:b/>
          <w:bCs/>
          <w:color w:val="auto"/>
          <w:kern w:val="2"/>
          <w:sz w:val="28"/>
        </w:rPr>
        <w:t>附件一：投标报价格式</w:t>
      </w:r>
    </w:p>
    <w:p w14:paraId="264C7CBB">
      <w:pPr>
        <w:pStyle w:val="15"/>
        <w:jc w:val="center"/>
        <w:rPr>
          <w:rFonts w:hint="default"/>
          <w:b/>
          <w:sz w:val="44"/>
        </w:rPr>
      </w:pPr>
    </w:p>
    <w:p w14:paraId="382FE33B">
      <w:pPr>
        <w:pStyle w:val="15"/>
        <w:jc w:val="center"/>
        <w:rPr>
          <w:rFonts w:hint="default"/>
          <w:b/>
          <w:sz w:val="40"/>
          <w:szCs w:val="21"/>
        </w:rPr>
      </w:pPr>
    </w:p>
    <w:p w14:paraId="607A10E8">
      <w:pPr>
        <w:pStyle w:val="15"/>
        <w:jc w:val="center"/>
        <w:rPr>
          <w:rFonts w:hint="eastAsia" w:eastAsia="宋体"/>
          <w:b/>
          <w:sz w:val="40"/>
          <w:szCs w:val="21"/>
          <w:lang w:eastAsia="zh-CN"/>
        </w:rPr>
      </w:pPr>
      <w:r>
        <w:rPr>
          <w:rFonts w:hint="eastAsia"/>
          <w:b/>
          <w:sz w:val="36"/>
          <w:lang w:eastAsia="zh-CN"/>
        </w:rPr>
        <w:t>响水灌东盐场120MW渔光互补光伏发电项目</w:t>
      </w:r>
    </w:p>
    <w:p w14:paraId="21C6BA19">
      <w:pPr>
        <w:pStyle w:val="15"/>
        <w:jc w:val="center"/>
        <w:rPr>
          <w:rFonts w:hint="default" w:cstheme="minorBidi"/>
          <w:color w:val="FF0000"/>
          <w:kern w:val="2"/>
          <w:sz w:val="32"/>
          <w:szCs w:val="21"/>
        </w:rPr>
      </w:pPr>
      <w:r>
        <w:rPr>
          <w:rFonts w:hint="eastAsia"/>
          <w:b/>
          <w:sz w:val="36"/>
          <w:lang w:eastAsia="zh-CN"/>
        </w:rPr>
        <w:t>职业病危害预评价</w:t>
      </w:r>
      <w:r>
        <w:rPr>
          <w:b/>
          <w:sz w:val="36"/>
        </w:rPr>
        <w:t>及评审服务</w:t>
      </w:r>
    </w:p>
    <w:p w14:paraId="2CF49F62">
      <w:pPr>
        <w:pStyle w:val="15"/>
        <w:rPr>
          <w:rFonts w:hint="default" w:cstheme="minorBidi"/>
          <w:color w:val="FF0000"/>
          <w:kern w:val="2"/>
          <w:szCs w:val="21"/>
        </w:rPr>
      </w:pPr>
    </w:p>
    <w:p w14:paraId="5DEE4B95">
      <w:pPr>
        <w:pStyle w:val="15"/>
        <w:rPr>
          <w:rFonts w:hint="default" w:cstheme="minorBidi"/>
          <w:color w:val="FF0000"/>
          <w:kern w:val="2"/>
          <w:szCs w:val="21"/>
        </w:rPr>
      </w:pPr>
    </w:p>
    <w:p w14:paraId="5BE29F31">
      <w:pPr>
        <w:pStyle w:val="15"/>
        <w:rPr>
          <w:rFonts w:hint="default" w:cstheme="minorBidi"/>
          <w:color w:val="FF0000"/>
          <w:kern w:val="2"/>
          <w:szCs w:val="21"/>
        </w:rPr>
      </w:pPr>
    </w:p>
    <w:p w14:paraId="23031C1D">
      <w:pPr>
        <w:pStyle w:val="15"/>
        <w:rPr>
          <w:rFonts w:hint="default" w:cstheme="minorBidi"/>
          <w:color w:val="FF0000"/>
          <w:kern w:val="2"/>
          <w:szCs w:val="21"/>
        </w:rPr>
      </w:pPr>
    </w:p>
    <w:p w14:paraId="7E16236D">
      <w:pPr>
        <w:pStyle w:val="15"/>
        <w:rPr>
          <w:rFonts w:hint="default" w:cstheme="minorBidi"/>
          <w:color w:val="FF0000"/>
          <w:kern w:val="2"/>
          <w:szCs w:val="21"/>
        </w:rPr>
      </w:pPr>
    </w:p>
    <w:p w14:paraId="133B8100">
      <w:pPr>
        <w:pStyle w:val="15"/>
        <w:rPr>
          <w:rFonts w:hint="default" w:cstheme="minorBidi"/>
          <w:color w:val="FF0000"/>
          <w:kern w:val="2"/>
          <w:szCs w:val="21"/>
        </w:rPr>
      </w:pPr>
    </w:p>
    <w:p w14:paraId="6FC1D214">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0810443D">
      <w:pPr>
        <w:pStyle w:val="15"/>
        <w:jc w:val="center"/>
        <w:rPr>
          <w:rFonts w:hint="default" w:cstheme="minorBidi"/>
          <w:color w:val="000000" w:themeColor="text1"/>
          <w:kern w:val="2"/>
          <w:sz w:val="56"/>
          <w:szCs w:val="21"/>
          <w14:textFill>
            <w14:solidFill>
              <w14:schemeClr w14:val="tx1"/>
            </w14:solidFill>
          </w14:textFill>
        </w:rPr>
      </w:pPr>
    </w:p>
    <w:p w14:paraId="472039ED">
      <w:pPr>
        <w:pStyle w:val="15"/>
        <w:jc w:val="center"/>
        <w:rPr>
          <w:rFonts w:hint="default" w:cstheme="minorBidi"/>
          <w:color w:val="000000" w:themeColor="text1"/>
          <w:kern w:val="2"/>
          <w:sz w:val="56"/>
          <w:szCs w:val="21"/>
          <w14:textFill>
            <w14:solidFill>
              <w14:schemeClr w14:val="tx1"/>
            </w14:solidFill>
          </w14:textFill>
        </w:rPr>
      </w:pPr>
    </w:p>
    <w:p w14:paraId="6874EC58">
      <w:pPr>
        <w:pStyle w:val="15"/>
        <w:jc w:val="center"/>
        <w:rPr>
          <w:rFonts w:hint="default" w:cstheme="minorBidi"/>
          <w:color w:val="000000" w:themeColor="text1"/>
          <w:kern w:val="2"/>
          <w:sz w:val="56"/>
          <w:szCs w:val="21"/>
          <w14:textFill>
            <w14:solidFill>
              <w14:schemeClr w14:val="tx1"/>
            </w14:solidFill>
          </w14:textFill>
        </w:rPr>
      </w:pPr>
    </w:p>
    <w:p w14:paraId="423F423F">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13D084FA">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3EDADCAD">
      <w:pPr>
        <w:pStyle w:val="15"/>
        <w:rPr>
          <w:rFonts w:hint="default" w:cstheme="minorBidi"/>
          <w:color w:val="FF0000"/>
          <w:kern w:val="2"/>
          <w:szCs w:val="21"/>
        </w:rPr>
      </w:pPr>
    </w:p>
    <w:p w14:paraId="27DDFAC6">
      <w:pPr>
        <w:widowControl/>
        <w:jc w:val="left"/>
        <w:rPr>
          <w:rFonts w:ascii="宋体" w:hAnsi="宋体" w:eastAsia="宋体"/>
          <w:color w:val="FF0000"/>
          <w:sz w:val="28"/>
        </w:rPr>
      </w:pPr>
      <w:r>
        <w:rPr>
          <w:rFonts w:ascii="宋体" w:hAnsi="宋体" w:eastAsia="宋体"/>
          <w:color w:val="FF0000"/>
          <w:sz w:val="28"/>
        </w:rPr>
        <w:br w:type="page"/>
      </w:r>
    </w:p>
    <w:p w14:paraId="1497EF41">
      <w:pPr>
        <w:widowControl/>
        <w:spacing w:after="312" w:afterLines="100"/>
        <w:jc w:val="left"/>
        <w:rPr>
          <w:rFonts w:ascii="宋体" w:hAnsi="宋体" w:eastAsia="宋体"/>
          <w:b/>
        </w:rPr>
      </w:pPr>
      <w:r>
        <w:rPr>
          <w:rFonts w:hint="eastAsia" w:ascii="宋体" w:hAnsi="宋体" w:eastAsia="宋体"/>
          <w:b/>
        </w:rPr>
        <w:t>附件1：</w:t>
      </w:r>
    </w:p>
    <w:p w14:paraId="3ACCFDF5">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009A49D4">
      <w:pPr>
        <w:pStyle w:val="23"/>
        <w:widowControl/>
        <w:spacing w:line="410" w:lineRule="atLeast"/>
        <w:jc w:val="center"/>
        <w:rPr>
          <w:rFonts w:ascii="宋体" w:hAnsi="宋体" w:cs="宋体"/>
          <w:b/>
          <w:bCs/>
          <w:kern w:val="0"/>
          <w:sz w:val="24"/>
          <w:szCs w:val="44"/>
        </w:rPr>
      </w:pPr>
    </w:p>
    <w:p w14:paraId="559C5FCA">
      <w:pPr>
        <w:pStyle w:val="23"/>
        <w:widowControl/>
        <w:spacing w:line="360" w:lineRule="auto"/>
        <w:jc w:val="left"/>
        <w:rPr>
          <w:rFonts w:ascii="宋体" w:hAnsi="宋体" w:cs="宋体"/>
          <w:kern w:val="0"/>
          <w:sz w:val="24"/>
        </w:rPr>
      </w:pPr>
      <w:r>
        <w:rPr>
          <w:rFonts w:hint="eastAsia" w:ascii="宋体" w:hAnsi="宋体"/>
          <w:sz w:val="24"/>
          <w:szCs w:val="21"/>
          <w:u w:val="single"/>
          <w:lang w:eastAsia="zh-CN"/>
        </w:rPr>
        <w:t>江苏盐城市清洁能源发展股份有限公司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679EF502">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sz w:val="24"/>
          <w:szCs w:val="21"/>
          <w:u w:val="single"/>
          <w:lang w:eastAsia="zh-CN"/>
        </w:rPr>
        <w:t>响水灌东盐场120MW渔光互补光伏发电项目</w:t>
      </w:r>
      <w:r>
        <w:rPr>
          <w:rFonts w:hint="eastAsia" w:ascii="宋体" w:hAnsi="宋体"/>
          <w:sz w:val="24"/>
          <w:szCs w:val="21"/>
          <w:u w:val="single"/>
        </w:rPr>
        <w:t>--</w:t>
      </w:r>
      <w:r>
        <w:rPr>
          <w:rFonts w:hint="eastAsia" w:ascii="宋体" w:hAnsi="宋体"/>
          <w:sz w:val="24"/>
          <w:szCs w:val="21"/>
          <w:u w:val="single"/>
          <w:lang w:eastAsia="zh-CN"/>
        </w:rPr>
        <w:t>职业病危害预评价</w:t>
      </w:r>
      <w:r>
        <w:rPr>
          <w:rFonts w:hint="eastAsia" w:ascii="宋体" w:hAnsi="宋体"/>
          <w:sz w:val="24"/>
          <w:szCs w:val="21"/>
          <w:u w:val="single"/>
        </w:rPr>
        <w:t>及评审服务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14:paraId="3ED01F89">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376F139C">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219DE1C1">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43C9BFF3">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5EAA2BFD">
            <w:pPr>
              <w:pStyle w:val="24"/>
              <w:jc w:val="center"/>
            </w:pPr>
            <w:r>
              <w:t>备注</w:t>
            </w:r>
          </w:p>
        </w:tc>
      </w:tr>
      <w:tr w14:paraId="18EAA6CC">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08DC13BB">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4C67AD94">
            <w:pPr>
              <w:pStyle w:val="24"/>
              <w:jc w:val="center"/>
            </w:pPr>
            <w:r>
              <w:rPr>
                <w:rFonts w:hint="eastAsia"/>
                <w:sz w:val="24"/>
                <w:lang w:eastAsia="zh-CN"/>
              </w:rPr>
              <w:t>职业病危害预评价</w:t>
            </w:r>
            <w:r>
              <w:rPr>
                <w:rFonts w:hint="eastAsia"/>
                <w:sz w:val="24"/>
              </w:rPr>
              <w:t>及评审服务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021B0DAE">
            <w:pPr>
              <w:pStyle w:val="23"/>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72638C67">
            <w:pPr>
              <w:pStyle w:val="24"/>
            </w:pPr>
            <w:r>
              <w:t>发票类型：</w:t>
            </w:r>
          </w:p>
          <w:p w14:paraId="044F905B">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p>
        </w:tc>
      </w:tr>
      <w:tr w14:paraId="147245AB">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5EDACFC8">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146D879D">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36A1E478">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6D05AF7B">
            <w:pPr>
              <w:pStyle w:val="24"/>
              <w:snapToGrid w:val="0"/>
              <w:jc w:val="center"/>
            </w:pPr>
          </w:p>
        </w:tc>
      </w:tr>
    </w:tbl>
    <w:p w14:paraId="01D2C922">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75D8B9E5">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2E2EE0BB">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69D37837">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4D55AEEE">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29DA21D9">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4F9531F2">
      <w:pPr>
        <w:pStyle w:val="23"/>
        <w:widowControl/>
        <w:spacing w:line="400" w:lineRule="exact"/>
        <w:jc w:val="left"/>
        <w:rPr>
          <w:rFonts w:ascii="宋体" w:hAnsi="宋体" w:cs="宋体"/>
          <w:kern w:val="0"/>
          <w:sz w:val="24"/>
        </w:rPr>
      </w:pPr>
    </w:p>
    <w:p w14:paraId="58B6F8D0">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7094840F">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2549E043">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54A6E9A9">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54C6A002">
      <w:pPr>
        <w:rPr>
          <w:rFonts w:ascii="宋体" w:hAnsi="宋体" w:cs="宋体"/>
          <w:b/>
          <w:bCs/>
          <w:sz w:val="24"/>
        </w:rPr>
      </w:pPr>
    </w:p>
    <w:p w14:paraId="6A4845CC">
      <w:pPr>
        <w:rPr>
          <w:rFonts w:ascii="宋体" w:hAnsi="宋体" w:cs="宋体"/>
          <w:b/>
          <w:bCs/>
          <w:sz w:val="24"/>
        </w:rPr>
      </w:pPr>
    </w:p>
    <w:p w14:paraId="126FAAA8">
      <w:pPr>
        <w:rPr>
          <w:rFonts w:ascii="宋体" w:hAnsi="宋体" w:cs="宋体"/>
          <w:b/>
          <w:bCs/>
          <w:sz w:val="24"/>
        </w:rPr>
      </w:pPr>
      <w:r>
        <w:rPr>
          <w:rFonts w:hint="eastAsia" w:ascii="宋体" w:hAnsi="宋体" w:cs="宋体"/>
          <w:b/>
          <w:bCs/>
          <w:sz w:val="24"/>
        </w:rPr>
        <w:t>附件2：</w:t>
      </w:r>
    </w:p>
    <w:p w14:paraId="13801250">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4E13FCCF">
      <w:pPr>
        <w:spacing w:line="500" w:lineRule="exact"/>
        <w:rPr>
          <w:rFonts w:ascii="宋体" w:hAnsi="宋体" w:eastAsia="宋体" w:cs="宋体"/>
          <w:sz w:val="28"/>
        </w:rPr>
      </w:pPr>
    </w:p>
    <w:p w14:paraId="06684308">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584DB781">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611AF506">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3147DBEF">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FD6C317">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A7F95B5">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6A494339">
      <w:pPr>
        <w:spacing w:line="500" w:lineRule="exact"/>
        <w:ind w:firstLine="480" w:firstLineChars="200"/>
        <w:rPr>
          <w:rFonts w:ascii="宋体" w:hAnsi="宋体" w:eastAsia="宋体" w:cs="宋体"/>
          <w:sz w:val="24"/>
        </w:rPr>
      </w:pPr>
    </w:p>
    <w:p w14:paraId="71079E6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v:textbox>
                <w10:wrap type="square"/>
              </v:shape>
            </w:pict>
          </mc:Fallback>
        </mc:AlternateContent>
      </w:r>
    </w:p>
    <w:p w14:paraId="4290B82A">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v:textbox>
                <w10:wrap type="square"/>
              </v:shape>
            </w:pict>
          </mc:Fallback>
        </mc:AlternateContent>
      </w:r>
    </w:p>
    <w:p w14:paraId="2586C7D6">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037481FC">
      <w:pPr>
        <w:spacing w:line="500" w:lineRule="exact"/>
        <w:ind w:firstLine="480" w:firstLineChars="200"/>
        <w:rPr>
          <w:rFonts w:ascii="宋体" w:hAnsi="宋体" w:eastAsia="宋体" w:cs="宋体"/>
          <w:sz w:val="24"/>
        </w:rPr>
      </w:pPr>
    </w:p>
    <w:p w14:paraId="4078AF5B">
      <w:pPr>
        <w:spacing w:line="500" w:lineRule="exact"/>
        <w:ind w:firstLine="480" w:firstLineChars="200"/>
        <w:rPr>
          <w:rFonts w:ascii="宋体" w:hAnsi="宋体" w:eastAsia="宋体" w:cs="宋体"/>
          <w:sz w:val="24"/>
        </w:rPr>
      </w:pPr>
    </w:p>
    <w:p w14:paraId="2AF9C4E6">
      <w:pPr>
        <w:spacing w:line="500" w:lineRule="exact"/>
        <w:ind w:firstLine="480" w:firstLineChars="200"/>
        <w:rPr>
          <w:rFonts w:ascii="宋体" w:hAnsi="宋体" w:eastAsia="宋体" w:cs="宋体"/>
          <w:sz w:val="24"/>
        </w:rPr>
      </w:pPr>
    </w:p>
    <w:p w14:paraId="5CC5FB63">
      <w:pPr>
        <w:spacing w:line="500" w:lineRule="exact"/>
        <w:ind w:firstLine="480" w:firstLineChars="200"/>
        <w:rPr>
          <w:rFonts w:ascii="宋体" w:hAnsi="宋体" w:eastAsia="宋体" w:cs="宋体"/>
          <w:sz w:val="24"/>
        </w:rPr>
      </w:pPr>
    </w:p>
    <w:p w14:paraId="01BBDB8B">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70CC3FD9">
      <w:pPr>
        <w:spacing w:line="500" w:lineRule="exact"/>
        <w:ind w:firstLine="3840" w:firstLineChars="1600"/>
        <w:rPr>
          <w:rFonts w:ascii="宋体" w:hAnsi="宋体" w:eastAsia="宋体" w:cs="宋体"/>
          <w:sz w:val="24"/>
        </w:rPr>
      </w:pPr>
    </w:p>
    <w:p w14:paraId="4392A794">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705CD9E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288807D9">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6562E5C0">
      <w:pPr>
        <w:spacing w:line="360" w:lineRule="auto"/>
        <w:jc w:val="center"/>
        <w:rPr>
          <w:rFonts w:ascii="宋体" w:hAnsi="宋体" w:eastAsia="宋体" w:cs="宋体"/>
          <w:sz w:val="44"/>
        </w:rPr>
      </w:pPr>
    </w:p>
    <w:p w14:paraId="057936B3">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0261B7F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v:textbox>
                <w10:wrap type="square"/>
              </v:shape>
            </w:pict>
          </mc:Fallback>
        </mc:AlternateContent>
      </w:r>
    </w:p>
    <w:p w14:paraId="43889BD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v:textbox>
                <w10:wrap type="square"/>
              </v:shape>
            </w:pict>
          </mc:Fallback>
        </mc:AlternateContent>
      </w:r>
    </w:p>
    <w:p w14:paraId="6F31BDE0">
      <w:pPr>
        <w:spacing w:line="360" w:lineRule="auto"/>
        <w:rPr>
          <w:rFonts w:ascii="宋体" w:hAnsi="宋体" w:eastAsia="宋体" w:cs="宋体"/>
          <w:sz w:val="24"/>
        </w:rPr>
      </w:pPr>
    </w:p>
    <w:p w14:paraId="1CF5A551">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333270A2">
      <w:pPr>
        <w:spacing w:line="360" w:lineRule="auto"/>
        <w:rPr>
          <w:rFonts w:ascii="宋体" w:hAnsi="宋体" w:eastAsia="宋体" w:cs="宋体"/>
          <w:sz w:val="24"/>
        </w:rPr>
      </w:pPr>
      <w:r>
        <w:rPr>
          <w:rFonts w:hint="eastAsia" w:ascii="宋体" w:hAnsi="宋体" w:eastAsia="宋体" w:cs="宋体"/>
          <w:sz w:val="24"/>
        </w:rPr>
        <w:t xml:space="preserve">    联系电话：</w:t>
      </w:r>
    </w:p>
    <w:p w14:paraId="6E005EF4">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77C109A4">
      <w:pPr>
        <w:spacing w:line="360" w:lineRule="auto"/>
        <w:jc w:val="center"/>
        <w:rPr>
          <w:rFonts w:ascii="宋体" w:hAnsi="宋体" w:eastAsia="宋体" w:cs="宋体"/>
          <w:sz w:val="24"/>
        </w:rPr>
      </w:pPr>
    </w:p>
    <w:p w14:paraId="4CBAE3ED">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03D57E37">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4D17B960">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4839EAEF">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AD2FEA7">
      <w:pPr>
        <w:spacing w:line="360" w:lineRule="auto"/>
        <w:ind w:right="480" w:firstLine="3960" w:firstLineChars="1650"/>
        <w:rPr>
          <w:rFonts w:ascii="宋体" w:hAnsi="宋体" w:eastAsia="宋体" w:cs="宋体"/>
          <w:sz w:val="24"/>
        </w:rPr>
      </w:pPr>
    </w:p>
    <w:p w14:paraId="1B7B9638">
      <w:pPr>
        <w:spacing w:line="360" w:lineRule="auto"/>
        <w:ind w:right="480" w:firstLine="3960" w:firstLineChars="1650"/>
        <w:rPr>
          <w:rFonts w:ascii="宋体" w:hAnsi="宋体" w:cs="宋体"/>
          <w:sz w:val="24"/>
        </w:rPr>
      </w:pPr>
    </w:p>
    <w:p w14:paraId="472E5729">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651BF318">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投标人类似业绩（盖公章）</w:t>
      </w:r>
    </w:p>
    <w:p w14:paraId="72FB129B">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0B330B77">
      <w:pPr>
        <w:rPr>
          <w:rFonts w:ascii="宋体" w:hAnsi="宋体" w:eastAsia="宋体"/>
          <w:sz w:val="24"/>
          <w:szCs w:val="21"/>
        </w:rPr>
      </w:pPr>
      <w:r>
        <w:rPr>
          <w:rFonts w:ascii="宋体" w:hAnsi="宋体" w:eastAsia="宋体"/>
          <w:sz w:val="24"/>
          <w:szCs w:val="21"/>
        </w:rPr>
        <w:br w:type="page"/>
      </w:r>
    </w:p>
    <w:p w14:paraId="15698A35">
      <w:pPr>
        <w:spacing w:line="360" w:lineRule="auto"/>
        <w:jc w:val="left"/>
        <w:rPr>
          <w:rFonts w:ascii="宋体" w:hAnsi="宋体" w:eastAsia="宋体" w:cs="宋体"/>
          <w:b/>
          <w:sz w:val="28"/>
          <w:szCs w:val="44"/>
        </w:rPr>
      </w:pPr>
      <w:r>
        <w:rPr>
          <w:rFonts w:hint="eastAsia" w:ascii="宋体" w:hAnsi="宋体" w:eastAsia="宋体" w:cs="宋体"/>
          <w:b/>
          <w:sz w:val="28"/>
          <w:szCs w:val="44"/>
        </w:rPr>
        <w:t>附件二：合同示范文本</w:t>
      </w:r>
    </w:p>
    <w:p w14:paraId="73D8735A">
      <w:pPr>
        <w:rPr>
          <w:rFonts w:ascii="宋体" w:hAnsi="宋体" w:eastAsia="宋体" w:cs="宋体"/>
          <w:bCs/>
          <w:sz w:val="28"/>
        </w:rPr>
      </w:pPr>
      <w:r>
        <w:rPr>
          <w:rFonts w:hint="eastAsia" w:ascii="宋体" w:hAnsi="宋体" w:eastAsia="宋体" w:cs="宋体"/>
          <w:bCs/>
          <w:sz w:val="28"/>
        </w:rPr>
        <w:t>合同编号：</w:t>
      </w:r>
    </w:p>
    <w:p w14:paraId="1042E138">
      <w:pPr>
        <w:pStyle w:val="15"/>
        <w:rPr>
          <w:rFonts w:hint="default" w:cs="宋体"/>
        </w:rPr>
      </w:pPr>
    </w:p>
    <w:p w14:paraId="47F9C16C">
      <w:pPr>
        <w:rPr>
          <w:rFonts w:ascii="宋体" w:hAnsi="宋体" w:eastAsia="宋体" w:cs="宋体"/>
          <w:b/>
          <w:bCs/>
          <w:sz w:val="52"/>
        </w:rPr>
      </w:pPr>
    </w:p>
    <w:p w14:paraId="5E08281C">
      <w:pPr>
        <w:pStyle w:val="15"/>
        <w:rPr>
          <w:rFonts w:hint="default" w:cs="宋体"/>
        </w:rPr>
      </w:pPr>
    </w:p>
    <w:p w14:paraId="1E8450E3">
      <w:pPr>
        <w:pStyle w:val="15"/>
        <w:rPr>
          <w:rFonts w:hint="default" w:cs="宋体"/>
        </w:rPr>
      </w:pPr>
    </w:p>
    <w:p w14:paraId="11C8DE64">
      <w:pPr>
        <w:pStyle w:val="15"/>
        <w:rPr>
          <w:rFonts w:hint="default" w:cs="宋体"/>
        </w:rPr>
      </w:pPr>
    </w:p>
    <w:p w14:paraId="379934E2">
      <w:pPr>
        <w:spacing w:line="480" w:lineRule="auto"/>
        <w:jc w:val="center"/>
        <w:rPr>
          <w:rFonts w:hint="eastAsia" w:ascii="宋体" w:hAnsi="宋体" w:eastAsia="宋体" w:cs="宋体"/>
          <w:b/>
          <w:bCs/>
          <w:sz w:val="40"/>
          <w:szCs w:val="48"/>
          <w:lang w:eastAsia="zh-CN"/>
        </w:rPr>
      </w:pPr>
      <w:r>
        <w:rPr>
          <w:rFonts w:hint="eastAsia" w:ascii="宋体" w:hAnsi="宋体" w:eastAsia="宋体" w:cs="宋体"/>
          <w:b/>
          <w:bCs/>
          <w:sz w:val="40"/>
          <w:szCs w:val="48"/>
          <w:lang w:eastAsia="zh-CN"/>
        </w:rPr>
        <w:t>响水灌东盐场120MW渔光互补光伏发电项目</w:t>
      </w:r>
    </w:p>
    <w:p w14:paraId="5F3C7FA8">
      <w:pPr>
        <w:spacing w:line="480" w:lineRule="auto"/>
        <w:jc w:val="center"/>
        <w:rPr>
          <w:rFonts w:ascii="宋体" w:hAnsi="宋体" w:eastAsia="宋体" w:cs="宋体"/>
          <w:b/>
          <w:bCs/>
          <w:sz w:val="48"/>
          <w:szCs w:val="56"/>
        </w:rPr>
      </w:pPr>
      <w:r>
        <w:rPr>
          <w:rFonts w:hint="eastAsia" w:ascii="宋体" w:hAnsi="宋体" w:eastAsia="宋体" w:cs="宋体"/>
          <w:b/>
          <w:bCs/>
          <w:sz w:val="40"/>
          <w:szCs w:val="48"/>
          <w:lang w:eastAsia="zh-CN"/>
        </w:rPr>
        <w:t>职业病危害预评价</w:t>
      </w:r>
      <w:r>
        <w:rPr>
          <w:rFonts w:hint="eastAsia" w:ascii="宋体" w:hAnsi="宋体" w:eastAsia="宋体" w:cs="宋体"/>
          <w:b/>
          <w:bCs/>
          <w:sz w:val="40"/>
          <w:szCs w:val="48"/>
        </w:rPr>
        <w:t>及评审服务</w:t>
      </w:r>
    </w:p>
    <w:p w14:paraId="5D4C8DD6">
      <w:pPr>
        <w:spacing w:line="480" w:lineRule="auto"/>
        <w:jc w:val="center"/>
        <w:rPr>
          <w:rFonts w:ascii="宋体" w:hAnsi="宋体" w:eastAsia="宋体" w:cs="宋体"/>
          <w:b/>
          <w:bCs/>
          <w:sz w:val="48"/>
          <w:szCs w:val="56"/>
        </w:rPr>
      </w:pPr>
    </w:p>
    <w:p w14:paraId="115D11C1">
      <w:pPr>
        <w:rPr>
          <w:rFonts w:ascii="宋体" w:hAnsi="宋体" w:eastAsia="宋体" w:cs="宋体"/>
          <w:sz w:val="32"/>
        </w:rPr>
      </w:pPr>
    </w:p>
    <w:p w14:paraId="26AB0260">
      <w:pPr>
        <w:pStyle w:val="15"/>
        <w:rPr>
          <w:rFonts w:hint="default" w:cs="宋体"/>
        </w:rPr>
      </w:pPr>
    </w:p>
    <w:p w14:paraId="5C7FC68A">
      <w:pPr>
        <w:rPr>
          <w:rFonts w:ascii="宋体" w:hAnsi="宋体" w:eastAsia="宋体" w:cs="宋体"/>
          <w:sz w:val="32"/>
        </w:rPr>
      </w:pPr>
    </w:p>
    <w:p w14:paraId="59CF2DA0">
      <w:pPr>
        <w:rPr>
          <w:rFonts w:ascii="宋体" w:hAnsi="宋体" w:eastAsia="宋体" w:cs="宋体"/>
          <w:sz w:val="32"/>
        </w:rPr>
      </w:pPr>
    </w:p>
    <w:p w14:paraId="050AE97F">
      <w:pPr>
        <w:pStyle w:val="15"/>
        <w:rPr>
          <w:rFonts w:hint="default" w:cs="宋体"/>
        </w:rPr>
      </w:pPr>
    </w:p>
    <w:p w14:paraId="7E0F6B51">
      <w:pPr>
        <w:pStyle w:val="15"/>
        <w:rPr>
          <w:rFonts w:hint="default" w:cs="宋体"/>
          <w:szCs w:val="20"/>
          <w:lang w:bidi="th-TH"/>
        </w:rPr>
      </w:pPr>
    </w:p>
    <w:p w14:paraId="5747B7E9">
      <w:pPr>
        <w:ind w:firstLine="120" w:firstLineChars="50"/>
        <w:rPr>
          <w:rFonts w:ascii="宋体" w:hAnsi="宋体" w:eastAsia="宋体" w:cs="宋体"/>
          <w:color w:val="000000"/>
          <w:kern w:val="0"/>
          <w:sz w:val="24"/>
          <w:szCs w:val="20"/>
          <w:lang w:bidi="th-TH"/>
        </w:rPr>
      </w:pPr>
    </w:p>
    <w:p w14:paraId="01F66498">
      <w:pPr>
        <w:pStyle w:val="15"/>
        <w:rPr>
          <w:rFonts w:hint="default" w:cs="宋体"/>
          <w:lang w:bidi="th-TH"/>
        </w:rPr>
      </w:pPr>
    </w:p>
    <w:p w14:paraId="7DC2D52A">
      <w:pPr>
        <w:spacing w:line="720" w:lineRule="auto"/>
        <w:ind w:firstLine="1767" w:firstLineChars="550"/>
        <w:rPr>
          <w:rFonts w:hint="eastAsia" w:ascii="宋体" w:hAnsi="宋体" w:eastAsia="宋体" w:cs="宋体"/>
          <w:b/>
          <w:sz w:val="32"/>
          <w:lang w:eastAsia="zh-CN"/>
        </w:rPr>
      </w:pPr>
      <w:r>
        <w:rPr>
          <w:rFonts w:hint="eastAsia" w:ascii="宋体" w:hAnsi="宋体" w:eastAsia="宋体" w:cs="宋体"/>
          <w:b/>
          <w:sz w:val="32"/>
        </w:rPr>
        <w:t>甲方：</w:t>
      </w:r>
      <w:r>
        <w:rPr>
          <w:rFonts w:hint="eastAsia" w:ascii="宋体" w:hAnsi="宋体" w:eastAsia="宋体" w:cs="宋体"/>
          <w:b/>
          <w:sz w:val="32"/>
          <w:lang w:eastAsia="zh-CN"/>
        </w:rPr>
        <w:t>江苏盐城市清洁能源发展股份有限公司</w:t>
      </w:r>
    </w:p>
    <w:p w14:paraId="19B253AC">
      <w:pPr>
        <w:spacing w:line="720" w:lineRule="auto"/>
        <w:ind w:firstLine="1767" w:firstLineChars="550"/>
        <w:rPr>
          <w:rFonts w:ascii="宋体" w:hAnsi="宋体" w:eastAsia="宋体" w:cs="宋体"/>
          <w:b/>
          <w:sz w:val="32"/>
        </w:rPr>
      </w:pPr>
      <w:r>
        <w:rPr>
          <w:rFonts w:hint="eastAsia" w:ascii="宋体" w:hAnsi="宋体" w:eastAsia="宋体" w:cs="宋体"/>
          <w:b/>
          <w:sz w:val="32"/>
        </w:rPr>
        <w:t xml:space="preserve">乙方： </w:t>
      </w:r>
    </w:p>
    <w:p w14:paraId="0496917E">
      <w:pPr>
        <w:rPr>
          <w:rFonts w:ascii="宋体" w:hAnsi="宋体" w:eastAsia="宋体" w:cs="宋体"/>
          <w:sz w:val="32"/>
        </w:rPr>
      </w:pPr>
    </w:p>
    <w:p w14:paraId="7F44D92C">
      <w:pPr>
        <w:rPr>
          <w:rFonts w:ascii="宋体" w:hAnsi="宋体" w:eastAsia="宋体" w:cs="宋体"/>
          <w:sz w:val="32"/>
        </w:rPr>
      </w:pPr>
    </w:p>
    <w:p w14:paraId="2E233B8F">
      <w:pPr>
        <w:jc w:val="center"/>
        <w:rPr>
          <w:rFonts w:ascii="宋体" w:hAnsi="宋体" w:eastAsia="宋体" w:cs="宋体"/>
          <w:sz w:val="32"/>
          <w:szCs w:val="32"/>
        </w:rPr>
      </w:pPr>
      <w:r>
        <w:rPr>
          <w:rFonts w:hint="eastAsia" w:ascii="宋体" w:hAnsi="宋体" w:eastAsia="宋体" w:cs="宋体"/>
          <w:sz w:val="32"/>
        </w:rPr>
        <w:t>日期：</w:t>
      </w:r>
      <w:r>
        <w:rPr>
          <w:rFonts w:hint="eastAsia" w:ascii="宋体" w:hAnsi="宋体" w:eastAsia="宋体" w:cs="宋体"/>
          <w:sz w:val="32"/>
          <w:szCs w:val="32"/>
        </w:rPr>
        <w:t xml:space="preserve">   年    月   日</w:t>
      </w:r>
    </w:p>
    <w:p w14:paraId="2411BCF4">
      <w:pPr>
        <w:pStyle w:val="15"/>
        <w:rPr>
          <w:rFonts w:hint="default" w:cs="宋体"/>
          <w:sz w:val="32"/>
          <w:szCs w:val="32"/>
        </w:rPr>
      </w:pPr>
    </w:p>
    <w:p w14:paraId="6DFB0D56">
      <w:pPr>
        <w:pStyle w:val="15"/>
        <w:rPr>
          <w:rFonts w:hint="default" w:cs="宋体"/>
          <w:sz w:val="32"/>
          <w:szCs w:val="32"/>
        </w:rPr>
      </w:pPr>
    </w:p>
    <w:p w14:paraId="52194CC8">
      <w:pPr>
        <w:widowControl/>
        <w:adjustRightInd w:val="0"/>
        <w:snapToGrid w:val="0"/>
        <w:spacing w:before="156" w:beforeLines="50" w:after="156" w:afterLines="50" w:line="360" w:lineRule="auto"/>
        <w:jc w:val="center"/>
        <w:rPr>
          <w:rFonts w:ascii="宋体" w:hAnsi="宋体" w:eastAsia="宋体" w:cs="宋体"/>
          <w:b/>
          <w:kern w:val="0"/>
          <w:sz w:val="32"/>
          <w:szCs w:val="36"/>
        </w:rPr>
      </w:pPr>
      <w:r>
        <w:rPr>
          <w:rFonts w:hint="eastAsia" w:ascii="宋体" w:hAnsi="宋体" w:eastAsia="宋体" w:cs="宋体"/>
          <w:b/>
          <w:kern w:val="0"/>
          <w:sz w:val="32"/>
          <w:szCs w:val="36"/>
        </w:rPr>
        <w:t xml:space="preserve"> </w:t>
      </w:r>
      <w:r>
        <w:rPr>
          <w:rFonts w:hint="eastAsia" w:ascii="宋体" w:hAnsi="宋体" w:eastAsia="宋体" w:cs="宋体"/>
          <w:b/>
          <w:kern w:val="0"/>
          <w:sz w:val="32"/>
          <w:szCs w:val="36"/>
          <w:lang w:eastAsia="zh-CN"/>
        </w:rPr>
        <w:t>响水灌东盐场120MW渔光互补光伏发电项目</w:t>
      </w:r>
      <w:r>
        <w:rPr>
          <w:rFonts w:hint="eastAsia" w:ascii="宋体" w:hAnsi="宋体" w:eastAsia="宋体" w:cs="宋体"/>
          <w:b/>
          <w:kern w:val="0"/>
          <w:sz w:val="32"/>
          <w:szCs w:val="36"/>
        </w:rPr>
        <w:t>职业</w:t>
      </w:r>
      <w:r>
        <w:rPr>
          <w:rFonts w:hint="eastAsia" w:ascii="宋体" w:hAnsi="宋体" w:eastAsia="宋体" w:cs="宋体"/>
          <w:b/>
          <w:kern w:val="0"/>
          <w:sz w:val="32"/>
          <w:szCs w:val="36"/>
          <w:lang w:val="en-US" w:eastAsia="zh-CN"/>
        </w:rPr>
        <w:t>病危害</w:t>
      </w:r>
      <w:r>
        <w:rPr>
          <w:rFonts w:hint="eastAsia" w:ascii="宋体" w:hAnsi="宋体" w:eastAsia="宋体" w:cs="宋体"/>
          <w:b/>
          <w:kern w:val="0"/>
          <w:sz w:val="32"/>
          <w:szCs w:val="36"/>
        </w:rPr>
        <w:t>预评价及评审服务合同</w:t>
      </w:r>
    </w:p>
    <w:p w14:paraId="50C8DFE3">
      <w:pPr>
        <w:spacing w:line="360" w:lineRule="auto"/>
        <w:rPr>
          <w:rFonts w:ascii="宋体" w:hAnsi="宋体" w:eastAsia="宋体" w:cs="宋体"/>
          <w:b/>
          <w:snapToGrid w:val="0"/>
          <w:sz w:val="24"/>
          <w:szCs w:val="24"/>
        </w:rPr>
      </w:pPr>
      <w:r>
        <w:rPr>
          <w:rFonts w:hint="eastAsia" w:ascii="宋体" w:hAnsi="宋体" w:eastAsia="宋体" w:cs="宋体"/>
          <w:b/>
          <w:snapToGrid w:val="0"/>
          <w:sz w:val="24"/>
          <w:szCs w:val="24"/>
        </w:rPr>
        <w:t>甲方：</w:t>
      </w:r>
      <w:r>
        <w:rPr>
          <w:rFonts w:hint="eastAsia" w:ascii="宋体" w:hAnsi="宋体" w:eastAsia="宋体" w:cs="宋体"/>
          <w:b/>
          <w:snapToGrid w:val="0"/>
          <w:sz w:val="24"/>
          <w:szCs w:val="24"/>
          <w:u w:val="single"/>
        </w:rPr>
        <w:t xml:space="preserve">                                 </w:t>
      </w:r>
      <w:r>
        <w:rPr>
          <w:rFonts w:hint="eastAsia" w:ascii="宋体" w:hAnsi="宋体" w:eastAsia="宋体" w:cs="宋体"/>
          <w:b/>
          <w:snapToGrid w:val="0"/>
          <w:sz w:val="24"/>
          <w:szCs w:val="24"/>
        </w:rPr>
        <w:t xml:space="preserve"> </w:t>
      </w:r>
    </w:p>
    <w:p w14:paraId="135C8E2D">
      <w:pPr>
        <w:spacing w:line="360" w:lineRule="auto"/>
        <w:rPr>
          <w:rFonts w:ascii="宋体" w:hAnsi="宋体" w:eastAsia="宋体" w:cs="宋体"/>
          <w:b/>
          <w:snapToGrid w:val="0"/>
          <w:sz w:val="24"/>
          <w:szCs w:val="24"/>
        </w:rPr>
      </w:pPr>
      <w:r>
        <w:rPr>
          <w:rFonts w:hint="eastAsia" w:ascii="宋体" w:hAnsi="宋体" w:eastAsia="宋体" w:cs="宋体"/>
          <w:b/>
          <w:snapToGrid w:val="0"/>
          <w:sz w:val="24"/>
          <w:szCs w:val="24"/>
        </w:rPr>
        <w:t>乙方：</w:t>
      </w:r>
      <w:r>
        <w:rPr>
          <w:rFonts w:hint="eastAsia" w:ascii="宋体" w:hAnsi="宋体" w:eastAsia="宋体" w:cs="宋体"/>
          <w:b/>
          <w:snapToGrid w:val="0"/>
          <w:sz w:val="24"/>
          <w:szCs w:val="24"/>
          <w:u w:val="single"/>
        </w:rPr>
        <w:t xml:space="preserve">                                 </w:t>
      </w:r>
      <w:r>
        <w:rPr>
          <w:rFonts w:hint="eastAsia" w:ascii="宋体" w:hAnsi="宋体" w:eastAsia="宋体" w:cs="宋体"/>
          <w:b/>
          <w:snapToGrid w:val="0"/>
          <w:sz w:val="24"/>
          <w:szCs w:val="24"/>
        </w:rPr>
        <w:t xml:space="preserve"> </w:t>
      </w:r>
    </w:p>
    <w:p w14:paraId="3192028C">
      <w:pPr>
        <w:spacing w:line="360" w:lineRule="auto"/>
        <w:ind w:firstLine="480" w:firstLineChars="200"/>
        <w:rPr>
          <w:rFonts w:ascii="宋体" w:hAnsi="宋体" w:eastAsia="宋体" w:cs="宋体"/>
          <w:bCs/>
          <w:color w:val="000000"/>
          <w:sz w:val="24"/>
          <w:szCs w:val="24"/>
        </w:rPr>
      </w:pPr>
      <w:r>
        <w:rPr>
          <w:rFonts w:hint="eastAsia" w:ascii="宋体" w:hAnsi="宋体" w:eastAsia="宋体" w:cs="宋体"/>
          <w:bCs/>
          <w:color w:val="000000"/>
          <w:sz w:val="24"/>
          <w:szCs w:val="24"/>
        </w:rPr>
        <w:t>为明确甲乙双方的权利与义务，保护双方的合法权益，根据《中华人民共和国</w:t>
      </w:r>
      <w:r>
        <w:rPr>
          <w:rFonts w:hint="eastAsia" w:ascii="宋体" w:hAnsi="宋体" w:eastAsia="宋体" w:cs="宋体"/>
          <w:bCs/>
          <w:color w:val="000000"/>
          <w:sz w:val="24"/>
          <w:szCs w:val="24"/>
          <w:lang w:val="en-US" w:eastAsia="zh-CN"/>
        </w:rPr>
        <w:t>民法典</w:t>
      </w:r>
      <w:r>
        <w:rPr>
          <w:rFonts w:hint="eastAsia" w:ascii="宋体" w:hAnsi="宋体" w:eastAsia="宋体" w:cs="宋体"/>
          <w:bCs/>
          <w:color w:val="000000"/>
          <w:sz w:val="24"/>
          <w:szCs w:val="24"/>
        </w:rPr>
        <w:t>》及其他相关法律法规的规定，在平等、自愿、互惠、互利原则上，经双方充分协商，特订立合同，以便共同遵守。</w:t>
      </w:r>
    </w:p>
    <w:p w14:paraId="3E8B92AC">
      <w:pPr>
        <w:numPr>
          <w:ilvl w:val="0"/>
          <w:numId w:val="2"/>
        </w:numPr>
        <w:spacing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定义</w:t>
      </w:r>
    </w:p>
    <w:p w14:paraId="69E60AFA">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甲方：指</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公司，或其合法受让人。</w:t>
      </w:r>
    </w:p>
    <w:p w14:paraId="53BAD7EC">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乙方：指</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，或经甲方同意的其合法受让人。</w:t>
      </w:r>
    </w:p>
    <w:p w14:paraId="55868929">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双方：甲方和乙方合称双方。</w:t>
      </w:r>
    </w:p>
    <w:p w14:paraId="736D2C3E">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项目：指位于</w:t>
      </w:r>
      <w:r>
        <w:rPr>
          <w:rFonts w:hint="eastAsia" w:ascii="宋体" w:hAnsi="宋体" w:eastAsia="宋体" w:cs="宋体"/>
          <w:bCs/>
          <w:color w:val="000000"/>
          <w:sz w:val="24"/>
          <w:szCs w:val="24"/>
          <w:u w:val="single"/>
        </w:rPr>
        <w:t>江苏</w:t>
      </w:r>
      <w:r>
        <w:rPr>
          <w:rFonts w:hint="eastAsia" w:ascii="宋体" w:hAnsi="宋体" w:eastAsia="宋体" w:cs="宋体"/>
          <w:bCs/>
          <w:color w:val="000000"/>
          <w:sz w:val="24"/>
          <w:szCs w:val="24"/>
        </w:rPr>
        <w:t>省</w:t>
      </w:r>
      <w:r>
        <w:rPr>
          <w:rFonts w:hint="eastAsia" w:ascii="宋体" w:hAnsi="宋体" w:eastAsia="宋体" w:cs="宋体"/>
          <w:bCs/>
          <w:color w:val="000000"/>
          <w:sz w:val="24"/>
          <w:szCs w:val="24"/>
          <w:u w:val="single"/>
        </w:rPr>
        <w:t>盐城</w:t>
      </w:r>
      <w:r>
        <w:rPr>
          <w:rFonts w:hint="eastAsia" w:ascii="宋体" w:hAnsi="宋体" w:eastAsia="宋体" w:cs="宋体"/>
          <w:bCs/>
          <w:color w:val="000000"/>
          <w:sz w:val="24"/>
          <w:szCs w:val="24"/>
        </w:rPr>
        <w:t>市</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县的</w:t>
      </w:r>
      <w:r>
        <w:rPr>
          <w:rFonts w:hint="eastAsia" w:ascii="宋体" w:hAnsi="宋体" w:eastAsia="宋体" w:cs="宋体"/>
          <w:bCs/>
          <w:color w:val="000000"/>
          <w:sz w:val="24"/>
          <w:szCs w:val="24"/>
          <w:u w:val="single"/>
        </w:rPr>
        <w:t xml:space="preserve">                        项目</w:t>
      </w:r>
      <w:r>
        <w:rPr>
          <w:rFonts w:hint="eastAsia" w:ascii="宋体" w:hAnsi="宋体" w:eastAsia="宋体" w:cs="宋体"/>
          <w:bCs/>
          <w:color w:val="000000"/>
          <w:sz w:val="24"/>
          <w:szCs w:val="24"/>
        </w:rPr>
        <w:t>。</w:t>
      </w:r>
    </w:p>
    <w:p w14:paraId="6270B4FA">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合同：指甲乙双方签署的本文件，包括合同的附件。</w:t>
      </w:r>
    </w:p>
    <w:p w14:paraId="0672A0DC">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技术服务：指乙方接受甲方的委托，根据甲方的要求，利用自身的信息优势和专业水平，提供项目</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服务，为甲方提供合同约定的技术服务成果。</w:t>
      </w:r>
    </w:p>
    <w:p w14:paraId="3B8EC63C">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技术服务成果：指合同约定的技术服务成果，及合同未明确</w:t>
      </w:r>
      <w:r>
        <w:rPr>
          <w:rFonts w:hint="eastAsia" w:ascii="宋体" w:hAnsi="宋体" w:eastAsia="宋体" w:cs="宋体"/>
          <w:bCs/>
          <w:sz w:val="24"/>
          <w:szCs w:val="24"/>
        </w:rPr>
        <w:t>约定但根据法律规定或属于完成</w:t>
      </w:r>
      <w:r>
        <w:rPr>
          <w:rFonts w:hint="eastAsia" w:ascii="宋体" w:hAnsi="宋体" w:eastAsia="宋体" w:cs="宋体"/>
          <w:bCs/>
          <w:color w:val="000000"/>
          <w:sz w:val="24"/>
          <w:szCs w:val="24"/>
        </w:rPr>
        <w:t>项目</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sz w:val="24"/>
          <w:szCs w:val="24"/>
        </w:rPr>
        <w:t>所必需的其他成果。</w:t>
      </w:r>
    </w:p>
    <w:p w14:paraId="4F2276C0">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sz w:val="24"/>
          <w:szCs w:val="24"/>
        </w:rPr>
        <w:t>技术文件：指甲方根据合同约定向乙方提供的所有报告、图纸、标准、规范等技术文件。</w:t>
      </w:r>
    </w:p>
    <w:p w14:paraId="47591315">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评审：指乙方提交的技术服务成果经专家会议审查，出具评审意见的活动。</w:t>
      </w:r>
    </w:p>
    <w:p w14:paraId="638D0143">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验收：指根据合同约定的技术服务质量标准，对乙方提交的技术服务成果进行审查、检验、评估或评审，并作出相应的结论的活动。</w:t>
      </w:r>
    </w:p>
    <w:p w14:paraId="7329141F">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合同总价：指根据合同规定乙方在正确地、完全地履行合同义务后甲方应支付给乙方的费用，包括人工费用、技术服务成果印刷费用、考察调研费用、差旅费、税费、利润等与合同有关的所有费用。</w:t>
      </w:r>
    </w:p>
    <w:p w14:paraId="2737B701">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日、月、年是指公历的日、月、年；“天”是指24小时；“周”是指7天。</w:t>
      </w:r>
    </w:p>
    <w:p w14:paraId="26057364">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元：指合同中作为货币单位的人民币元。</w:t>
      </w:r>
    </w:p>
    <w:p w14:paraId="76AF80B4">
      <w:pPr>
        <w:spacing w:line="360" w:lineRule="auto"/>
        <w:rPr>
          <w:rFonts w:ascii="宋体" w:hAnsi="宋体" w:eastAsia="宋体" w:cs="宋体"/>
          <w:bCs/>
          <w:color w:val="000000"/>
          <w:sz w:val="24"/>
          <w:szCs w:val="24"/>
        </w:rPr>
      </w:pPr>
    </w:p>
    <w:p w14:paraId="03D12E70">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技术服务的内容、质量标准</w:t>
      </w:r>
    </w:p>
    <w:p w14:paraId="031D64AD">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技术服务的内容：</w:t>
      </w:r>
    </w:p>
    <w:p w14:paraId="0A4475D0">
      <w:pPr>
        <w:numPr>
          <w:ilvl w:val="2"/>
          <w:numId w:val="2"/>
        </w:numPr>
        <w:adjustRightInd w:val="0"/>
        <w:snapToGrid w:val="0"/>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根据甲方提供的技术文件，结合工程性质与环境现状，进行</w:t>
      </w:r>
      <w:r>
        <w:rPr>
          <w:rFonts w:hint="eastAsia" w:ascii="宋体" w:hAnsi="宋体" w:eastAsia="宋体" w:cs="宋体"/>
          <w:sz w:val="24"/>
          <w:szCs w:val="24"/>
          <w:lang w:eastAsia="zh-CN"/>
        </w:rPr>
        <w:t>职业病危害预评价</w:t>
      </w:r>
      <w:r>
        <w:rPr>
          <w:rFonts w:hint="eastAsia" w:ascii="宋体" w:hAnsi="宋体" w:eastAsia="宋体" w:cs="宋体"/>
          <w:sz w:val="24"/>
          <w:szCs w:val="24"/>
        </w:rPr>
        <w:t>工作，编制合乎要求的职业</w:t>
      </w:r>
      <w:r>
        <w:rPr>
          <w:rFonts w:hint="eastAsia" w:ascii="宋体" w:hAnsi="宋体" w:eastAsia="宋体" w:cs="宋体"/>
          <w:sz w:val="24"/>
          <w:szCs w:val="24"/>
          <w:lang w:val="en-US" w:eastAsia="zh-CN"/>
        </w:rPr>
        <w:t>病危害</w:t>
      </w:r>
      <w:r>
        <w:rPr>
          <w:rFonts w:hint="eastAsia" w:ascii="宋体" w:hAnsi="宋体" w:eastAsia="宋体" w:cs="宋体"/>
          <w:sz w:val="24"/>
          <w:szCs w:val="24"/>
        </w:rPr>
        <w:t>预评价报告并完成评审。</w:t>
      </w:r>
    </w:p>
    <w:p w14:paraId="42ABFEBD">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本合同技术服务执行以下质量标准：</w:t>
      </w:r>
    </w:p>
    <w:p w14:paraId="637DECE6">
      <w:pPr>
        <w:numPr>
          <w:ilvl w:val="2"/>
          <w:numId w:val="2"/>
        </w:numPr>
        <w:adjustRightInd w:val="0"/>
        <w:snapToGrid w:val="0"/>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满足《中华人民共和国职业病防治法》；《建设项目职业病危害预评价技术导则》（</w:t>
      </w:r>
      <w:r>
        <w:rPr>
          <w:rFonts w:ascii="宋体" w:hAnsi="宋体" w:eastAsia="宋体" w:cs="宋体"/>
          <w:sz w:val="24"/>
          <w:szCs w:val="24"/>
        </w:rPr>
        <w:t>GBZ/T 196—2007</w:t>
      </w:r>
      <w:r>
        <w:rPr>
          <w:rFonts w:hint="eastAsia" w:ascii="宋体" w:hAnsi="宋体" w:eastAsia="宋体" w:cs="宋体"/>
          <w:sz w:val="24"/>
          <w:szCs w:val="24"/>
        </w:rPr>
        <w:t>）；《建设项目职业病防护设施“三同时”监督管理办法》</w:t>
      </w:r>
      <w:r>
        <w:rPr>
          <w:rFonts w:ascii="宋体" w:hAnsi="宋体" w:eastAsia="宋体" w:cs="宋体"/>
          <w:sz w:val="24"/>
          <w:szCs w:val="24"/>
        </w:rPr>
        <w:t>(国家安全监管总局令</w:t>
      </w:r>
      <w:r>
        <w:rPr>
          <w:rFonts w:hint="eastAsia" w:ascii="宋体" w:hAnsi="宋体" w:eastAsia="宋体" w:cs="宋体"/>
          <w:sz w:val="24"/>
          <w:szCs w:val="24"/>
        </w:rPr>
        <w:t xml:space="preserve"> </w:t>
      </w:r>
      <w:r>
        <w:rPr>
          <w:rFonts w:ascii="宋体" w:hAnsi="宋体" w:eastAsia="宋体" w:cs="宋体"/>
          <w:sz w:val="24"/>
          <w:szCs w:val="24"/>
        </w:rPr>
        <w:t>第90号）</w:t>
      </w:r>
      <w:r>
        <w:rPr>
          <w:rFonts w:hint="eastAsia" w:ascii="宋体" w:hAnsi="宋体" w:eastAsia="宋体" w:cs="宋体"/>
          <w:sz w:val="24"/>
          <w:szCs w:val="24"/>
        </w:rPr>
        <w:t>；《职业病危害项目申报办法》（国家安全生产监督管理总局令</w:t>
      </w:r>
      <w:r>
        <w:rPr>
          <w:rFonts w:ascii="宋体" w:hAnsi="宋体" w:eastAsia="宋体" w:cs="宋体"/>
          <w:sz w:val="24"/>
          <w:szCs w:val="24"/>
        </w:rPr>
        <w:t xml:space="preserve"> 第48号）</w:t>
      </w:r>
      <w:r>
        <w:rPr>
          <w:rFonts w:hint="eastAsia" w:ascii="宋体" w:hAnsi="宋体" w:eastAsia="宋体" w:cs="宋体"/>
          <w:sz w:val="24"/>
          <w:szCs w:val="24"/>
        </w:rPr>
        <w:t>及其他国家和地方标准、行业标准。</w:t>
      </w:r>
    </w:p>
    <w:p w14:paraId="1A4222F6">
      <w:pPr>
        <w:numPr>
          <w:ilvl w:val="2"/>
          <w:numId w:val="2"/>
        </w:numPr>
        <w:adjustRightInd w:val="0"/>
        <w:snapToGrid w:val="0"/>
        <w:spacing w:line="360" w:lineRule="auto"/>
        <w:ind w:left="0" w:firstLine="0"/>
        <w:jc w:val="left"/>
        <w:rPr>
          <w:rFonts w:ascii="宋体" w:hAnsi="宋体" w:eastAsia="宋体" w:cs="宋体"/>
          <w:sz w:val="24"/>
          <w:szCs w:val="24"/>
          <w:u w:val="single"/>
        </w:rPr>
      </w:pPr>
      <w:r>
        <w:rPr>
          <w:rFonts w:hint="eastAsia" w:ascii="宋体" w:hAnsi="宋体" w:eastAsia="宋体" w:cs="宋体"/>
          <w:sz w:val="24"/>
          <w:szCs w:val="24"/>
        </w:rPr>
        <w:t>根据项目规模按需组织相应专家会议评审，</w:t>
      </w:r>
      <w:r>
        <w:rPr>
          <w:rFonts w:hint="eastAsia" w:ascii="宋体" w:hAnsi="宋体" w:eastAsia="宋体" w:cs="宋体"/>
          <w:sz w:val="24"/>
          <w:szCs w:val="24"/>
          <w:lang w:val="en-US" w:eastAsia="zh-CN"/>
        </w:rPr>
        <w:t>通过评审形成符合职业病防治有关法规、规章和标准要求的评审意见，并按照评审意见对报告进行修改完善</w:t>
      </w:r>
      <w:r>
        <w:rPr>
          <w:rFonts w:hint="eastAsia" w:ascii="宋体" w:hAnsi="宋体" w:eastAsia="宋体" w:cs="宋体"/>
          <w:bCs/>
          <w:color w:val="000000"/>
          <w:sz w:val="24"/>
          <w:szCs w:val="24"/>
        </w:rPr>
        <w:t>。</w:t>
      </w:r>
    </w:p>
    <w:p w14:paraId="61CE3F02">
      <w:pPr>
        <w:numPr>
          <w:ilvl w:val="2"/>
          <w:numId w:val="2"/>
        </w:numPr>
        <w:adjustRightInd w:val="0"/>
        <w:snapToGrid w:val="0"/>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技术服务应同时符合本合同约定的质量标准、国家及行业标准；以上标准不一致的以最严格、最保守、最高规格的标准的规定为准。</w:t>
      </w:r>
    </w:p>
    <w:p w14:paraId="13B62E2A">
      <w:pPr>
        <w:adjustRightInd w:val="0"/>
        <w:snapToGrid w:val="0"/>
        <w:spacing w:line="360" w:lineRule="auto"/>
        <w:jc w:val="left"/>
        <w:rPr>
          <w:rFonts w:ascii="宋体" w:hAnsi="宋体" w:eastAsia="宋体" w:cs="宋体"/>
          <w:sz w:val="24"/>
          <w:szCs w:val="24"/>
        </w:rPr>
      </w:pPr>
    </w:p>
    <w:p w14:paraId="1C3430B3">
      <w:pPr>
        <w:numPr>
          <w:ilvl w:val="0"/>
          <w:numId w:val="2"/>
        </w:numPr>
        <w:spacing w:line="360" w:lineRule="auto"/>
        <w:ind w:left="0" w:firstLine="0"/>
        <w:jc w:val="left"/>
        <w:rPr>
          <w:rFonts w:ascii="宋体" w:hAnsi="宋体" w:eastAsia="宋体" w:cs="宋体"/>
          <w:bCs/>
          <w:color w:val="000000"/>
          <w:sz w:val="24"/>
          <w:szCs w:val="24"/>
        </w:rPr>
      </w:pPr>
      <w:bookmarkStart w:id="0" w:name="_Ref307333709"/>
      <w:r>
        <w:rPr>
          <w:rFonts w:hint="eastAsia" w:ascii="宋体" w:hAnsi="宋体" w:eastAsia="宋体" w:cs="宋体"/>
          <w:b/>
          <w:bCs/>
          <w:color w:val="000000"/>
          <w:sz w:val="24"/>
          <w:szCs w:val="24"/>
        </w:rPr>
        <w:t>技术服务成果及交付时间</w:t>
      </w:r>
      <w:bookmarkEnd w:id="0"/>
    </w:p>
    <w:p w14:paraId="2E6A04C8">
      <w:pPr>
        <w:spacing w:line="360" w:lineRule="auto"/>
        <w:jc w:val="left"/>
        <w:rPr>
          <w:rFonts w:ascii="宋体" w:hAnsi="宋体" w:eastAsia="宋体" w:cs="宋体"/>
          <w:sz w:val="24"/>
          <w:szCs w:val="24"/>
        </w:rPr>
      </w:pPr>
      <w:r>
        <w:rPr>
          <w:rFonts w:hint="eastAsia" w:ascii="宋体" w:hAnsi="宋体" w:eastAsia="宋体" w:cs="宋体"/>
          <w:sz w:val="24"/>
          <w:szCs w:val="24"/>
        </w:rPr>
        <w:t>3.1.自合同签</w:t>
      </w:r>
      <w:r>
        <w:rPr>
          <w:rFonts w:hint="eastAsia" w:ascii="宋体" w:hAnsi="宋体" w:eastAsia="宋体" w:cs="宋体"/>
          <w:sz w:val="24"/>
          <w:szCs w:val="24"/>
          <w:lang w:val="en-US" w:eastAsia="zh-CN"/>
        </w:rPr>
        <w:t>订</w:t>
      </w:r>
      <w:r>
        <w:rPr>
          <w:rFonts w:hint="eastAsia" w:ascii="宋体" w:hAnsi="宋体" w:eastAsia="宋体" w:cs="宋体"/>
          <w:sz w:val="24"/>
          <w:szCs w:val="24"/>
        </w:rPr>
        <w:t>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个工作日完成项目职业</w:t>
      </w:r>
      <w:r>
        <w:rPr>
          <w:rFonts w:hint="eastAsia" w:ascii="宋体" w:hAnsi="宋体" w:eastAsia="宋体" w:cs="宋体"/>
          <w:sz w:val="24"/>
          <w:szCs w:val="24"/>
          <w:lang w:val="en-US" w:eastAsia="zh-CN"/>
        </w:rPr>
        <w:t>病危害</w:t>
      </w:r>
      <w:r>
        <w:rPr>
          <w:rFonts w:hint="eastAsia" w:ascii="宋体" w:hAnsi="宋体" w:eastAsia="宋体" w:cs="宋体"/>
          <w:sz w:val="24"/>
          <w:szCs w:val="24"/>
        </w:rPr>
        <w:t>预评价报告编制，</w:t>
      </w:r>
      <w:r>
        <w:rPr>
          <w:rFonts w:hint="eastAsia" w:ascii="宋体" w:hAnsi="宋体" w:eastAsia="宋体" w:cs="宋体"/>
          <w:sz w:val="24"/>
          <w:szCs w:val="24"/>
          <w:lang w:val="en-US" w:eastAsia="zh-CN"/>
        </w:rPr>
        <w:t>形成符合职业病防治有关法规、规章和标准要求的评审意见，</w:t>
      </w:r>
      <w:r>
        <w:rPr>
          <w:rFonts w:hint="eastAsia" w:ascii="宋体" w:hAnsi="宋体" w:eastAsia="宋体" w:cs="宋体"/>
          <w:sz w:val="24"/>
          <w:szCs w:val="24"/>
        </w:rPr>
        <w:t>满足甲方及相关主管部门要求。</w:t>
      </w:r>
    </w:p>
    <w:p w14:paraId="7B53D6B6">
      <w:pPr>
        <w:spacing w:line="360" w:lineRule="auto"/>
        <w:jc w:val="left"/>
        <w:rPr>
          <w:rFonts w:ascii="宋体" w:hAnsi="宋体" w:eastAsia="宋体" w:cs="宋体"/>
          <w:sz w:val="24"/>
          <w:szCs w:val="24"/>
        </w:rPr>
      </w:pPr>
      <w:r>
        <w:rPr>
          <w:rFonts w:hint="eastAsia" w:ascii="宋体" w:hAnsi="宋体" w:eastAsia="宋体" w:cs="宋体"/>
          <w:sz w:val="24"/>
          <w:szCs w:val="24"/>
        </w:rPr>
        <w:t>3.2.提供《</w:t>
      </w:r>
      <w:r>
        <w:rPr>
          <w:rFonts w:hint="eastAsia" w:ascii="宋体" w:hAnsi="宋体" w:eastAsia="宋体" w:cs="宋体"/>
          <w:sz w:val="24"/>
          <w:szCs w:val="24"/>
          <w:u w:val="single"/>
          <w:lang w:eastAsia="zh-CN"/>
        </w:rPr>
        <w:t>响水灌东盐场120MW渔光互补光伏发电项目</w:t>
      </w:r>
      <w:r>
        <w:rPr>
          <w:rFonts w:hint="eastAsia" w:ascii="宋体" w:hAnsi="宋体" w:eastAsia="宋体" w:cs="宋体"/>
          <w:sz w:val="24"/>
          <w:szCs w:val="24"/>
          <w:u w:val="single"/>
        </w:rPr>
        <w:t>职业</w:t>
      </w:r>
      <w:r>
        <w:rPr>
          <w:rFonts w:hint="eastAsia" w:ascii="宋体" w:hAnsi="宋体" w:eastAsia="宋体" w:cs="宋体"/>
          <w:sz w:val="24"/>
          <w:szCs w:val="24"/>
          <w:u w:val="single"/>
          <w:lang w:val="en-US" w:eastAsia="zh-CN"/>
        </w:rPr>
        <w:t>病危害</w:t>
      </w:r>
      <w:r>
        <w:rPr>
          <w:rFonts w:hint="eastAsia" w:ascii="宋体" w:hAnsi="宋体" w:eastAsia="宋体" w:cs="宋体"/>
          <w:sz w:val="24"/>
          <w:szCs w:val="24"/>
          <w:u w:val="single"/>
        </w:rPr>
        <w:t>预评价报告</w:t>
      </w:r>
      <w:r>
        <w:rPr>
          <w:rFonts w:hint="eastAsia" w:ascii="宋体" w:hAnsi="宋体" w:eastAsia="宋体" w:cs="宋体"/>
          <w:sz w:val="24"/>
          <w:szCs w:val="24"/>
        </w:rPr>
        <w:t>》终版纸质版一式五份及电子版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专家评审意见</w:t>
      </w:r>
      <w:r>
        <w:rPr>
          <w:rFonts w:hint="eastAsia" w:ascii="宋体" w:hAnsi="宋体" w:eastAsia="宋体" w:cs="宋体"/>
          <w:sz w:val="24"/>
          <w:szCs w:val="24"/>
        </w:rPr>
        <w:t>。</w:t>
      </w:r>
    </w:p>
    <w:p w14:paraId="6464C156">
      <w:pPr>
        <w:spacing w:line="360" w:lineRule="auto"/>
        <w:jc w:val="left"/>
        <w:rPr>
          <w:rFonts w:ascii="宋体" w:hAnsi="宋体" w:eastAsia="宋体" w:cs="宋体"/>
          <w:bCs/>
          <w:color w:val="000000"/>
          <w:sz w:val="24"/>
          <w:szCs w:val="24"/>
        </w:rPr>
      </w:pPr>
    </w:p>
    <w:p w14:paraId="0F5D4B0D">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sz w:val="24"/>
          <w:szCs w:val="24"/>
        </w:rPr>
        <w:t>甲方应向乙方提供的技术文件</w:t>
      </w:r>
    </w:p>
    <w:p w14:paraId="13D7BE25">
      <w:pPr>
        <w:spacing w:line="360" w:lineRule="auto"/>
        <w:jc w:val="left"/>
        <w:rPr>
          <w:rFonts w:ascii="宋体" w:hAnsi="宋体" w:eastAsia="宋体" w:cs="宋体"/>
          <w:sz w:val="24"/>
          <w:szCs w:val="24"/>
          <w:u w:val="single"/>
        </w:rPr>
      </w:pPr>
      <w:r>
        <w:rPr>
          <w:rFonts w:hint="eastAsia" w:ascii="宋体" w:hAnsi="宋体" w:eastAsia="宋体" w:cs="宋体"/>
          <w:sz w:val="24"/>
          <w:szCs w:val="24"/>
        </w:rPr>
        <w:t>4.1.</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p>
    <w:p w14:paraId="63B5D72C">
      <w:pPr>
        <w:spacing w:line="360" w:lineRule="auto"/>
        <w:rPr>
          <w:rFonts w:ascii="宋体" w:hAnsi="宋体" w:eastAsia="宋体" w:cs="宋体"/>
          <w:sz w:val="24"/>
          <w:szCs w:val="24"/>
        </w:rPr>
      </w:pPr>
      <w:r>
        <w:rPr>
          <w:rFonts w:hint="eastAsia" w:ascii="宋体" w:hAnsi="宋体" w:eastAsia="宋体" w:cs="宋体"/>
          <w:sz w:val="24"/>
          <w:szCs w:val="24"/>
        </w:rPr>
        <w:t>4.2.甲方提供的技术文件仅供乙方参考，甲方并不对其准确性、可靠性负责，乙方必须依赖自身的专业能力，对甲方提交的技术文件进行分析后再使用。</w:t>
      </w:r>
    </w:p>
    <w:p w14:paraId="078F15F7">
      <w:pPr>
        <w:spacing w:line="360" w:lineRule="auto"/>
        <w:ind w:firstLine="480" w:firstLineChars="200"/>
        <w:rPr>
          <w:rFonts w:ascii="宋体" w:hAnsi="宋体" w:eastAsia="宋体" w:cs="宋体"/>
          <w:sz w:val="24"/>
          <w:szCs w:val="24"/>
        </w:rPr>
      </w:pPr>
    </w:p>
    <w:p w14:paraId="290F48AA">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技术服务成果的验收：</w:t>
      </w:r>
    </w:p>
    <w:p w14:paraId="69873A29">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乙方提交的《</w:t>
      </w:r>
      <w:r>
        <w:rPr>
          <w:rFonts w:hint="eastAsia" w:ascii="宋体" w:hAnsi="宋体" w:eastAsia="宋体" w:cs="宋体"/>
          <w:sz w:val="24"/>
          <w:szCs w:val="24"/>
          <w:u w:val="single"/>
          <w:lang w:eastAsia="zh-CN"/>
        </w:rPr>
        <w:t>响水灌东盐场120MW渔光互补光伏发电项目</w:t>
      </w:r>
      <w:r>
        <w:rPr>
          <w:rFonts w:hint="eastAsia" w:ascii="宋体" w:hAnsi="宋体" w:eastAsia="宋体" w:cs="宋体"/>
          <w:sz w:val="24"/>
          <w:szCs w:val="24"/>
          <w:u w:val="single"/>
        </w:rPr>
        <w:t>职业</w:t>
      </w:r>
      <w:r>
        <w:rPr>
          <w:rFonts w:hint="eastAsia" w:ascii="宋体" w:hAnsi="宋体" w:eastAsia="宋体" w:cs="宋体"/>
          <w:sz w:val="24"/>
          <w:szCs w:val="24"/>
          <w:u w:val="single"/>
          <w:lang w:val="en-US" w:eastAsia="zh-CN"/>
        </w:rPr>
        <w:t>病危害</w:t>
      </w:r>
      <w:r>
        <w:rPr>
          <w:rFonts w:hint="eastAsia" w:ascii="宋体" w:hAnsi="宋体" w:eastAsia="宋体" w:cs="宋体"/>
          <w:sz w:val="24"/>
          <w:szCs w:val="24"/>
          <w:u w:val="single"/>
        </w:rPr>
        <w:t>预评价报告</w:t>
      </w:r>
      <w:r>
        <w:rPr>
          <w:rFonts w:hint="eastAsia" w:ascii="宋体" w:hAnsi="宋体" w:eastAsia="宋体" w:cs="宋体"/>
          <w:bCs/>
          <w:color w:val="000000"/>
          <w:sz w:val="24"/>
          <w:szCs w:val="24"/>
        </w:rPr>
        <w:t>》终稿获得</w:t>
      </w:r>
      <w:r>
        <w:rPr>
          <w:rFonts w:hint="eastAsia" w:ascii="宋体" w:hAnsi="宋体" w:eastAsia="宋体" w:cs="宋体"/>
          <w:sz w:val="24"/>
          <w:szCs w:val="24"/>
          <w:lang w:val="en-US" w:eastAsia="zh-CN"/>
        </w:rPr>
        <w:t>符合职业病防治有关法规、规章和标准要求的评审意见</w:t>
      </w:r>
      <w:r>
        <w:rPr>
          <w:rFonts w:hint="eastAsia" w:ascii="宋体" w:hAnsi="宋体" w:eastAsia="宋体" w:cs="宋体"/>
          <w:bCs/>
          <w:color w:val="000000"/>
          <w:sz w:val="24"/>
          <w:szCs w:val="24"/>
        </w:rPr>
        <w:t>，并且甲方收到相关证明文件后，视为甲方对技术服务成果的最终验收。</w:t>
      </w:r>
    </w:p>
    <w:p w14:paraId="3C954B11">
      <w:pPr>
        <w:spacing w:line="360" w:lineRule="auto"/>
        <w:jc w:val="left"/>
        <w:rPr>
          <w:rFonts w:ascii="宋体" w:hAnsi="宋体" w:eastAsia="宋体" w:cs="宋体"/>
          <w:sz w:val="24"/>
          <w:szCs w:val="24"/>
        </w:rPr>
      </w:pPr>
    </w:p>
    <w:p w14:paraId="3937791E">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合同总价及支付方式</w:t>
      </w:r>
    </w:p>
    <w:p w14:paraId="17857C60">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合同总价：</w:t>
      </w:r>
      <w:r>
        <w:rPr>
          <w:rFonts w:hint="eastAsia" w:ascii="宋体" w:hAnsi="宋体" w:eastAsia="宋体" w:cs="宋体"/>
          <w:bCs/>
          <w:color w:val="000000"/>
          <w:sz w:val="24"/>
          <w:szCs w:val="24"/>
          <w:u w:val="single"/>
        </w:rPr>
        <w:t xml:space="preserve">    元 </w:t>
      </w:r>
      <w:r>
        <w:rPr>
          <w:rFonts w:hint="eastAsia" w:ascii="宋体" w:hAnsi="宋体" w:eastAsia="宋体" w:cs="宋体"/>
          <w:bCs/>
          <w:color w:val="000000"/>
          <w:sz w:val="24"/>
          <w:szCs w:val="24"/>
        </w:rPr>
        <w:t xml:space="preserve">（大写：    </w:t>
      </w:r>
      <w:r>
        <w:rPr>
          <w:rFonts w:hint="eastAsia" w:ascii="宋体" w:hAnsi="宋体" w:eastAsia="宋体" w:cs="宋体"/>
          <w:bCs/>
          <w:color w:val="000000"/>
          <w:sz w:val="24"/>
          <w:szCs w:val="24"/>
          <w:u w:val="single"/>
        </w:rPr>
        <w:t>整</w:t>
      </w:r>
      <w:r>
        <w:rPr>
          <w:rFonts w:hint="eastAsia" w:ascii="宋体" w:hAnsi="宋体" w:eastAsia="宋体" w:cs="宋体"/>
          <w:bCs/>
          <w:color w:val="000000"/>
          <w:sz w:val="24"/>
          <w:szCs w:val="24"/>
        </w:rPr>
        <w:t>）。合同总价包死，除甲乙双方协商一致进行调整外将保持固定不变，不因任何情形而调整。</w:t>
      </w:r>
    </w:p>
    <w:p w14:paraId="5980EDFF">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支付方式</w:t>
      </w:r>
    </w:p>
    <w:p w14:paraId="0DEB4EDD">
      <w:pPr>
        <w:numPr>
          <w:ilvl w:val="2"/>
          <w:numId w:val="2"/>
        </w:numPr>
        <w:spacing w:line="360" w:lineRule="auto"/>
        <w:ind w:left="0"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本合同约定的《</w:t>
      </w:r>
      <w:r>
        <w:rPr>
          <w:rFonts w:hint="eastAsia" w:ascii="宋体" w:hAnsi="宋体" w:eastAsia="宋体" w:cs="宋体"/>
          <w:sz w:val="24"/>
          <w:szCs w:val="24"/>
          <w:u w:val="single"/>
          <w:lang w:eastAsia="zh-CN"/>
        </w:rPr>
        <w:t>响水灌东盐场120MW渔光互补光伏发电项目</w:t>
      </w:r>
      <w:r>
        <w:rPr>
          <w:rFonts w:hint="eastAsia" w:ascii="宋体" w:hAnsi="宋体" w:eastAsia="宋体" w:cs="宋体"/>
          <w:sz w:val="24"/>
          <w:szCs w:val="24"/>
          <w:u w:val="single"/>
        </w:rPr>
        <w:t>职业</w:t>
      </w:r>
      <w:r>
        <w:rPr>
          <w:rFonts w:hint="eastAsia" w:ascii="宋体" w:hAnsi="宋体" w:eastAsia="宋体" w:cs="宋体"/>
          <w:sz w:val="24"/>
          <w:szCs w:val="24"/>
          <w:u w:val="single"/>
          <w:lang w:val="en-US" w:eastAsia="zh-CN"/>
        </w:rPr>
        <w:t>病危害</w:t>
      </w:r>
      <w:r>
        <w:rPr>
          <w:rFonts w:hint="eastAsia" w:ascii="宋体" w:hAnsi="宋体" w:eastAsia="宋体" w:cs="宋体"/>
          <w:sz w:val="24"/>
          <w:szCs w:val="24"/>
          <w:u w:val="single"/>
        </w:rPr>
        <w:t>预评价报告</w:t>
      </w:r>
      <w:r>
        <w:rPr>
          <w:rFonts w:hint="eastAsia" w:ascii="宋体" w:hAnsi="宋体" w:eastAsia="宋体" w:cs="宋体"/>
          <w:bCs/>
          <w:color w:val="000000"/>
          <w:sz w:val="24"/>
          <w:szCs w:val="24"/>
        </w:rPr>
        <w:t>》取得</w:t>
      </w:r>
      <w:r>
        <w:rPr>
          <w:rFonts w:hint="eastAsia" w:ascii="宋体" w:hAnsi="宋体" w:eastAsia="宋体" w:cs="宋体"/>
          <w:bCs/>
          <w:color w:val="000000"/>
          <w:sz w:val="24"/>
          <w:szCs w:val="24"/>
          <w:lang w:val="en-US" w:eastAsia="zh-CN"/>
        </w:rPr>
        <w:t>符合要求的评审意见</w:t>
      </w:r>
      <w:r>
        <w:rPr>
          <w:rFonts w:hint="eastAsia" w:ascii="宋体" w:hAnsi="宋体" w:eastAsia="宋体" w:cs="宋体"/>
          <w:bCs/>
          <w:color w:val="000000"/>
          <w:sz w:val="24"/>
          <w:szCs w:val="24"/>
        </w:rPr>
        <w:t>，且乙方向甲方提供金额为合同总价100%的合法发票，经甲方一审后，甲方向乙方支付合同总价的100%（即</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元整）。</w:t>
      </w:r>
    </w:p>
    <w:p w14:paraId="11E284D7">
      <w:pPr>
        <w:numPr>
          <w:ilvl w:val="2"/>
          <w:numId w:val="2"/>
        </w:numPr>
        <w:spacing w:line="360" w:lineRule="auto"/>
        <w:ind w:left="0"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以上合同价款，甲方将按照乙方要求汇入如下乙方指定的收款账户，具体开户银行名称、地址和账号为：</w:t>
      </w:r>
    </w:p>
    <w:p w14:paraId="6564D78B">
      <w:pPr>
        <w:spacing w:line="360" w:lineRule="auto"/>
        <w:rPr>
          <w:rFonts w:ascii="宋体" w:hAnsi="宋体" w:eastAsia="宋体" w:cs="宋体"/>
          <w:sz w:val="24"/>
          <w:szCs w:val="24"/>
        </w:rPr>
      </w:pPr>
      <w:r>
        <w:rPr>
          <w:rFonts w:hint="eastAsia" w:ascii="宋体" w:hAnsi="宋体" w:eastAsia="宋体" w:cs="宋体"/>
          <w:sz w:val="24"/>
          <w:szCs w:val="24"/>
        </w:rPr>
        <w:t>户    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8DE519A">
      <w:pPr>
        <w:spacing w:line="360" w:lineRule="auto"/>
        <w:rPr>
          <w:rFonts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B718D15">
      <w:pPr>
        <w:spacing w:line="360" w:lineRule="auto"/>
        <w:rPr>
          <w:rFonts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7C40AD7">
      <w:pPr>
        <w:spacing w:line="360" w:lineRule="auto"/>
        <w:rPr>
          <w:rFonts w:ascii="宋体" w:hAnsi="宋体" w:eastAsia="宋体" w:cs="宋体"/>
          <w:sz w:val="24"/>
          <w:szCs w:val="24"/>
        </w:rPr>
      </w:pPr>
      <w:r>
        <w:rPr>
          <w:rFonts w:hint="eastAsia" w:ascii="宋体" w:hAnsi="宋体" w:eastAsia="宋体" w:cs="宋体"/>
          <w:sz w:val="24"/>
          <w:szCs w:val="24"/>
        </w:rPr>
        <w:t>帐    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EC00C33">
      <w:pPr>
        <w:spacing w:line="360" w:lineRule="auto"/>
        <w:rPr>
          <w:rFonts w:ascii="宋体" w:hAnsi="宋体" w:eastAsia="宋体" w:cs="宋体"/>
          <w:sz w:val="24"/>
          <w:szCs w:val="24"/>
        </w:rPr>
      </w:pPr>
    </w:p>
    <w:p w14:paraId="4E5687DD">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知识产权</w:t>
      </w:r>
    </w:p>
    <w:p w14:paraId="58A5E84D">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乙方保证对向甲方提交的技术服务成果享有完全的知识产权，乙方</w:t>
      </w:r>
      <w:r>
        <w:rPr>
          <w:rFonts w:hint="eastAsia" w:ascii="宋体" w:hAnsi="宋体" w:eastAsia="宋体" w:cs="宋体"/>
          <w:bCs/>
          <w:color w:val="000000"/>
          <w:sz w:val="24"/>
          <w:szCs w:val="24"/>
          <w:lang w:val="en-US" w:eastAsia="zh-CN"/>
        </w:rPr>
        <w:t>完成</w:t>
      </w:r>
      <w:r>
        <w:rPr>
          <w:rFonts w:hint="eastAsia" w:ascii="宋体" w:hAnsi="宋体" w:eastAsia="宋体" w:cs="宋体"/>
          <w:bCs/>
          <w:color w:val="000000"/>
          <w:sz w:val="24"/>
          <w:szCs w:val="24"/>
        </w:rPr>
        <w:t>合同约定的技术服务成果时，则技术服务成果的所有权（含技术服务成果所附的著作权等知识产权）转移至甲方。</w:t>
      </w:r>
    </w:p>
    <w:p w14:paraId="1CD8BC4E">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乙方利用甲方提供的技术文件和工作条件所完成除按合同要求外的其他技术成果，归甲乙双方共同所有。</w:t>
      </w:r>
    </w:p>
    <w:p w14:paraId="51D9D690">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甲方利用乙方提交的技术服务成果所完成的新的技术成果，归甲方所有。</w:t>
      </w:r>
    </w:p>
    <w:p w14:paraId="70DDBFB0">
      <w:pPr>
        <w:numPr>
          <w:ilvl w:val="1"/>
          <w:numId w:val="2"/>
        </w:numPr>
        <w:spacing w:line="360" w:lineRule="auto"/>
        <w:ind w:firstLine="0"/>
        <w:jc w:val="left"/>
        <w:rPr>
          <w:rFonts w:ascii="宋体" w:hAnsi="宋体" w:eastAsia="宋体" w:cs="宋体"/>
          <w:bCs/>
          <w:color w:val="000000"/>
          <w:sz w:val="24"/>
          <w:szCs w:val="24"/>
        </w:rPr>
      </w:pPr>
      <w:bookmarkStart w:id="1" w:name="_Ref308016923"/>
      <w:r>
        <w:rPr>
          <w:rFonts w:hint="eastAsia" w:ascii="宋体" w:hAnsi="宋体" w:eastAsia="宋体" w:cs="宋体"/>
          <w:bCs/>
          <w:color w:val="000000"/>
          <w:sz w:val="24"/>
          <w:szCs w:val="24"/>
        </w:rPr>
        <w:t>乙方的知识产权保证义务：乙方保证甲方不会因使用乙方提交的技术服务成果而遭到来自任何第三方的关于知识产权方面的侵权指控、权利主张或提出异议；乙方应保护甲方免受由此产生的任何诉讼、索赔、要求、费用(含律师费)等损害。</w:t>
      </w:r>
      <w:bookmarkEnd w:id="1"/>
    </w:p>
    <w:p w14:paraId="155ECCB7">
      <w:pPr>
        <w:spacing w:line="360" w:lineRule="auto"/>
        <w:rPr>
          <w:rFonts w:ascii="宋体" w:hAnsi="宋体" w:eastAsia="宋体" w:cs="宋体"/>
          <w:b/>
          <w:bCs/>
          <w:color w:val="000000"/>
          <w:sz w:val="24"/>
          <w:szCs w:val="24"/>
        </w:rPr>
      </w:pPr>
    </w:p>
    <w:p w14:paraId="0C0415FA">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 xml:space="preserve"> 保密</w:t>
      </w:r>
    </w:p>
    <w:p w14:paraId="4B2852C1">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保密内容及要求：乙方保证对在本合同谈判、签订及履行过程中获悉的属于甲方或其关联公司的且无法从公开渠道获得的文件及资料（包括本合同、技术文件、设计图纸、商业秘密、经营信息、技术服务成果等）予以保密，未经甲方同意，不得向任何第三方泄露。</w:t>
      </w:r>
    </w:p>
    <w:p w14:paraId="57CAE2EF">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保密期间：至该等保密内容可以通过公开渠道获取为止。</w:t>
      </w:r>
    </w:p>
    <w:p w14:paraId="61CE3E10">
      <w:pPr>
        <w:spacing w:line="360" w:lineRule="auto"/>
        <w:jc w:val="left"/>
        <w:rPr>
          <w:rFonts w:ascii="宋体" w:hAnsi="宋体" w:eastAsia="宋体" w:cs="宋体"/>
          <w:bCs/>
          <w:color w:val="000000"/>
          <w:sz w:val="24"/>
          <w:szCs w:val="24"/>
        </w:rPr>
      </w:pPr>
    </w:p>
    <w:p w14:paraId="5953B5CB">
      <w:pPr>
        <w:numPr>
          <w:ilvl w:val="0"/>
          <w:numId w:val="2"/>
        </w:numPr>
        <w:spacing w:line="360" w:lineRule="auto"/>
        <w:ind w:left="0" w:firstLine="0"/>
        <w:jc w:val="left"/>
        <w:rPr>
          <w:rFonts w:ascii="宋体" w:hAnsi="宋体" w:eastAsia="宋体" w:cs="宋体"/>
          <w:b/>
          <w:bCs/>
          <w:color w:val="000000"/>
          <w:sz w:val="24"/>
          <w:szCs w:val="24"/>
        </w:rPr>
      </w:pPr>
      <w:bookmarkStart w:id="2" w:name="_Ref307487774"/>
      <w:r>
        <w:rPr>
          <w:rFonts w:hint="eastAsia" w:ascii="宋体" w:hAnsi="宋体" w:eastAsia="宋体" w:cs="宋体"/>
          <w:b/>
          <w:bCs/>
          <w:color w:val="000000"/>
          <w:sz w:val="24"/>
          <w:szCs w:val="24"/>
        </w:rPr>
        <w:t>转包、分包、转让</w:t>
      </w:r>
      <w:bookmarkEnd w:id="2"/>
    </w:p>
    <w:p w14:paraId="341FC4E0">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合同约定的技术服务内容，应当由乙方完成，未经甲方的书面同意，乙方不得将合同约定的技术服务内容转包或分包给任何第三方。</w:t>
      </w:r>
    </w:p>
    <w:p w14:paraId="0E59BE64">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乙方不得将合同转让给任何第三方。</w:t>
      </w:r>
    </w:p>
    <w:p w14:paraId="49A6EA82">
      <w:pPr>
        <w:numPr>
          <w:ilvl w:val="1"/>
          <w:numId w:val="2"/>
        </w:numPr>
        <w:spacing w:line="360" w:lineRule="auto"/>
        <w:ind w:firstLine="0"/>
        <w:jc w:val="left"/>
        <w:rPr>
          <w:rFonts w:ascii="宋体" w:hAnsi="宋体" w:eastAsia="宋体" w:cs="宋体"/>
          <w:bCs/>
          <w:color w:val="000000"/>
          <w:sz w:val="24"/>
          <w:szCs w:val="24"/>
        </w:rPr>
      </w:pPr>
      <w:r>
        <w:rPr>
          <w:rFonts w:hint="eastAsia" w:ascii="宋体" w:hAnsi="宋体" w:eastAsia="宋体" w:cs="宋体"/>
          <w:bCs/>
          <w:color w:val="000000"/>
          <w:sz w:val="24"/>
          <w:szCs w:val="24"/>
        </w:rPr>
        <w:t>甲方有权将合同或其在合同中的任一或所有权利转让给甲方的关联公司。</w:t>
      </w:r>
    </w:p>
    <w:p w14:paraId="281EB61C">
      <w:pPr>
        <w:spacing w:line="360" w:lineRule="auto"/>
        <w:jc w:val="left"/>
        <w:rPr>
          <w:rFonts w:ascii="宋体" w:hAnsi="宋体" w:eastAsia="宋体" w:cs="宋体"/>
          <w:b/>
          <w:bCs/>
          <w:color w:val="000000"/>
          <w:sz w:val="24"/>
          <w:szCs w:val="24"/>
        </w:rPr>
      </w:pPr>
    </w:p>
    <w:p w14:paraId="74968068">
      <w:pPr>
        <w:numPr>
          <w:ilvl w:val="0"/>
          <w:numId w:val="2"/>
        </w:numPr>
        <w:spacing w:line="360" w:lineRule="auto"/>
        <w:ind w:left="0" w:firstLine="0"/>
        <w:jc w:val="left"/>
        <w:rPr>
          <w:rFonts w:ascii="宋体" w:hAnsi="宋体" w:eastAsia="宋体" w:cs="宋体"/>
          <w:b/>
          <w:bCs/>
          <w:color w:val="000000"/>
          <w:sz w:val="24"/>
          <w:szCs w:val="24"/>
        </w:rPr>
      </w:pPr>
      <w:bookmarkStart w:id="3" w:name="_Ref309203960"/>
      <w:r>
        <w:rPr>
          <w:rFonts w:hint="eastAsia" w:ascii="宋体" w:hAnsi="宋体" w:eastAsia="宋体" w:cs="宋体"/>
          <w:b/>
          <w:bCs/>
          <w:color w:val="000000"/>
          <w:sz w:val="24"/>
          <w:szCs w:val="24"/>
        </w:rPr>
        <w:t>违约责任</w:t>
      </w:r>
      <w:bookmarkEnd w:id="3"/>
    </w:p>
    <w:p w14:paraId="2C456F22">
      <w:pPr>
        <w:numPr>
          <w:ilvl w:val="1"/>
          <w:numId w:val="2"/>
        </w:numPr>
        <w:spacing w:line="360" w:lineRule="auto"/>
        <w:ind w:firstLine="0"/>
        <w:jc w:val="left"/>
        <w:rPr>
          <w:rFonts w:ascii="宋体" w:hAnsi="宋体" w:eastAsia="宋体" w:cs="宋体"/>
          <w:sz w:val="24"/>
          <w:szCs w:val="24"/>
        </w:rPr>
      </w:pPr>
      <w:r>
        <w:rPr>
          <w:rFonts w:hint="eastAsia" w:ascii="宋体" w:hAnsi="宋体" w:eastAsia="宋体" w:cs="宋体"/>
          <w:sz w:val="24"/>
          <w:szCs w:val="24"/>
        </w:rPr>
        <w:t>甲方的违约责任</w:t>
      </w:r>
    </w:p>
    <w:p w14:paraId="6016C282">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甲方未按合同约定，延期提交技术文件的，乙方提交相应技术服务成果的时间顺延。</w:t>
      </w:r>
    </w:p>
    <w:p w14:paraId="0DE06639">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甲方违反合同约定逾期支付合同价款，应向乙方支付按应付未付合同价款的银行同期一年期存款基准利率计算的利息作为违约金。</w:t>
      </w:r>
    </w:p>
    <w:p w14:paraId="698A9113">
      <w:pPr>
        <w:numPr>
          <w:ilvl w:val="1"/>
          <w:numId w:val="2"/>
        </w:numPr>
        <w:spacing w:line="360" w:lineRule="auto"/>
        <w:ind w:firstLine="0"/>
        <w:jc w:val="left"/>
        <w:rPr>
          <w:rFonts w:ascii="宋体" w:hAnsi="宋体" w:eastAsia="宋体" w:cs="宋体"/>
          <w:sz w:val="24"/>
          <w:szCs w:val="24"/>
        </w:rPr>
      </w:pPr>
      <w:r>
        <w:rPr>
          <w:rFonts w:hint="eastAsia" w:ascii="宋体" w:hAnsi="宋体" w:eastAsia="宋体" w:cs="宋体"/>
          <w:sz w:val="24"/>
          <w:szCs w:val="24"/>
        </w:rPr>
        <w:t>乙方的违约责任</w:t>
      </w:r>
    </w:p>
    <w:p w14:paraId="45E3C537">
      <w:pPr>
        <w:numPr>
          <w:ilvl w:val="2"/>
          <w:numId w:val="2"/>
        </w:numPr>
        <w:spacing w:line="360" w:lineRule="auto"/>
        <w:ind w:left="0" w:firstLine="0"/>
        <w:jc w:val="left"/>
        <w:rPr>
          <w:rFonts w:ascii="宋体" w:hAnsi="宋体" w:eastAsia="宋体" w:cs="宋体"/>
          <w:sz w:val="24"/>
          <w:szCs w:val="24"/>
        </w:rPr>
      </w:pPr>
      <w:bookmarkStart w:id="4" w:name="_Ref306890099"/>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X</w:instrText>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\b </w:instrText>
      </w:r>
      <w:r>
        <w:rPr>
          <w:rFonts w:hint="eastAsia" w:ascii="宋体" w:hAnsi="宋体" w:eastAsia="宋体" w:cs="宋体"/>
          <w:sz w:val="24"/>
          <w:szCs w:val="24"/>
        </w:rPr>
        <w:fldChar w:fldCharType="end"/>
      </w:r>
      <w:r>
        <w:rPr>
          <w:rFonts w:hint="eastAsia" w:ascii="宋体" w:hAnsi="宋体" w:eastAsia="宋体" w:cs="宋体"/>
        </w:rPr>
        <w:fldChar w:fldCharType="begin"/>
      </w:r>
      <w:r>
        <w:rPr>
          <w:rFonts w:hint="eastAsia" w:ascii="宋体" w:hAnsi="宋体" w:eastAsia="宋体" w:cs="宋体"/>
          <w:sz w:val="24"/>
          <w:szCs w:val="24"/>
        </w:rPr>
        <w:instrText xml:space="preserve"> XE "9.1" \t "请参阅" \b </w:instrText>
      </w:r>
      <w:r>
        <w:rPr>
          <w:rFonts w:hint="eastAsia" w:ascii="宋体" w:hAnsi="宋体" w:eastAsia="宋体" w:cs="宋体"/>
          <w:sz w:val="24"/>
          <w:szCs w:val="24"/>
        </w:rPr>
        <w:fldChar w:fldCharType="end"/>
      </w:r>
      <w:r>
        <w:rPr>
          <w:rFonts w:hint="eastAsia" w:ascii="宋体" w:hAnsi="宋体" w:eastAsia="宋体" w:cs="宋体"/>
          <w:sz w:val="24"/>
          <w:szCs w:val="24"/>
        </w:rPr>
        <w:instrText xml:space="preserve">E "9:9" </w:instrText>
      </w:r>
      <w:r>
        <w:rPr>
          <w:rFonts w:hint="eastAsia" w:ascii="宋体" w:hAnsi="宋体" w:eastAsia="宋体" w:cs="宋体"/>
          <w:sz w:val="24"/>
          <w:szCs w:val="24"/>
        </w:rPr>
        <w:fldChar w:fldCharType="end"/>
      </w:r>
      <w:bookmarkStart w:id="5" w:name="_Ref308462924"/>
      <w:r>
        <w:rPr>
          <w:rFonts w:hint="eastAsia" w:ascii="宋体" w:hAnsi="宋体" w:eastAsia="宋体" w:cs="宋体"/>
          <w:sz w:val="24"/>
          <w:szCs w:val="24"/>
        </w:rPr>
        <w:t>乙方违反合同约定，逾期交付任一技术服务成果，每逾期一天应当向甲方支付相当于合同总价的0.5%作为惩罚性违约金。</w:t>
      </w:r>
      <w:bookmarkEnd w:id="4"/>
      <w:bookmarkEnd w:id="5"/>
      <w:r>
        <w:rPr>
          <w:rFonts w:hint="eastAsia" w:ascii="宋体" w:hAnsi="宋体" w:eastAsia="宋体" w:cs="宋体"/>
          <w:sz w:val="24"/>
          <w:szCs w:val="24"/>
        </w:rPr>
        <w:t>尽管存在逾期交付情形，但若乙方最终向甲方交付合同约定之最终技术服务成果且通过甲方最终验收，则甲方有权要求乙方先行支付本条前述违约金后再向乙方支付剩余应支付的合同价款。</w:t>
      </w:r>
    </w:p>
    <w:p w14:paraId="137A6C4C">
      <w:pPr>
        <w:numPr>
          <w:ilvl w:val="2"/>
          <w:numId w:val="2"/>
        </w:numPr>
        <w:spacing w:line="360" w:lineRule="auto"/>
        <w:ind w:left="0" w:firstLine="0"/>
        <w:jc w:val="left"/>
        <w:rPr>
          <w:rFonts w:ascii="宋体" w:hAnsi="宋体" w:eastAsia="宋体" w:cs="宋体"/>
          <w:sz w:val="24"/>
          <w:szCs w:val="24"/>
        </w:rPr>
      </w:pPr>
      <w:bookmarkStart w:id="6" w:name="_Ref308462927"/>
      <w:r>
        <w:rPr>
          <w:rFonts w:hint="eastAsia" w:ascii="宋体" w:hAnsi="宋体" w:eastAsia="宋体" w:cs="宋体"/>
          <w:sz w:val="24"/>
          <w:szCs w:val="24"/>
        </w:rPr>
        <w:t>乙方逾期交付任何一技术服务成果20天以上，甲方有权单方解除合同。</w:t>
      </w:r>
      <w:bookmarkEnd w:id="6"/>
    </w:p>
    <w:p w14:paraId="2B719973">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乙方违反合同约定，未经甲方同意将技术服务转包或分包给任何第三方，甲方有权解除合同。</w:t>
      </w:r>
    </w:p>
    <w:p w14:paraId="61851473">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如果乙方提交的技术服务成果，经甲方</w:t>
      </w:r>
      <w:r>
        <w:rPr>
          <w:rFonts w:hint="eastAsia" w:ascii="宋体" w:hAnsi="宋体" w:eastAsia="宋体" w:cs="宋体"/>
          <w:sz w:val="24"/>
          <w:szCs w:val="24"/>
          <w:lang w:val="en-US" w:eastAsia="zh-CN"/>
        </w:rPr>
        <w:t>二</w:t>
      </w:r>
      <w:r>
        <w:rPr>
          <w:rFonts w:hint="eastAsia" w:ascii="宋体" w:hAnsi="宋体" w:eastAsia="宋体" w:cs="宋体"/>
          <w:sz w:val="24"/>
          <w:szCs w:val="24"/>
        </w:rPr>
        <w:t>次退回乙方进行修改，仍未能通过验收的，则甲方有权解除合同。</w:t>
      </w:r>
    </w:p>
    <w:p w14:paraId="518E7C53">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未经甲方允许，乙方向任何第三方泄露合同约定的保密内容，则乙方应向甲方支付合同总价的20%作为惩罚性违约金，违约金不足弥补甲方因此遭受的损失的，甲方有权另行追偿。</w:t>
      </w:r>
    </w:p>
    <w:p w14:paraId="588F212F">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乙方违反合同约定的知识产权保证义务，甲方有权选择：</w:t>
      </w:r>
    </w:p>
    <w:p w14:paraId="0507CBA4">
      <w:pPr>
        <w:numPr>
          <w:ilvl w:val="3"/>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 xml:space="preserve">要求乙方提交符合合同要求的替代成果，但同时不免除乙方逾期交付技术服务成果的违约责任； </w:t>
      </w:r>
    </w:p>
    <w:p w14:paraId="45D56795">
      <w:pPr>
        <w:numPr>
          <w:ilvl w:val="3"/>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解除合同。</w:t>
      </w:r>
    </w:p>
    <w:p w14:paraId="2288B585">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乙方未能按照本合同的约定履行相关义务导致合同解除的，乙方应当返还甲方已支付的合同价款，并另行向甲方支付合同总价的20%作为惩罚性违约金。。</w:t>
      </w:r>
    </w:p>
    <w:p w14:paraId="1FFA1428">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因技术服务成果的缺陷造成甲方损失的，乙方除负责采取补救措施外，还应免收或返还缺陷部分技术服务成果所对应的合同价款，并赔偿由此给甲方造成的损失。</w:t>
      </w:r>
    </w:p>
    <w:p w14:paraId="2EFF4C5D">
      <w:pPr>
        <w:spacing w:line="360" w:lineRule="auto"/>
        <w:ind w:firstLine="480" w:firstLineChars="200"/>
        <w:rPr>
          <w:rFonts w:ascii="宋体" w:hAnsi="宋体" w:eastAsia="宋体" w:cs="宋体"/>
          <w:color w:val="000000"/>
          <w:sz w:val="24"/>
          <w:szCs w:val="24"/>
        </w:rPr>
      </w:pPr>
    </w:p>
    <w:p w14:paraId="1BA85ABE">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联系人</w:t>
      </w:r>
    </w:p>
    <w:p w14:paraId="1C16F6F9">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双方确定，在合同有效期内，甲方指定</w:t>
      </w:r>
      <w:r>
        <w:rPr>
          <w:rFonts w:hint="eastAsia" w:ascii="宋体" w:hAnsi="宋体" w:eastAsia="宋体" w:cs="宋体"/>
          <w:color w:val="000000"/>
          <w:sz w:val="24"/>
          <w:szCs w:val="24"/>
          <w:u w:val="single"/>
        </w:rPr>
        <w:t>黄赛杰</w:t>
      </w: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13004444100 </w:t>
      </w:r>
      <w:r>
        <w:rPr>
          <w:rFonts w:hint="eastAsia" w:ascii="宋体" w:hAnsi="宋体" w:eastAsia="宋体" w:cs="宋体"/>
          <w:color w:val="000000"/>
          <w:sz w:val="24"/>
          <w:szCs w:val="24"/>
        </w:rPr>
        <w:t>邮箱：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）为甲方联系人，乙方指定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邮箱：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）为乙方联系人。</w:t>
      </w:r>
    </w:p>
    <w:p w14:paraId="6BBB914D">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联系人承担以下责任：</w:t>
      </w:r>
    </w:p>
    <w:p w14:paraId="07A638CB">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沟通技术服务进度；</w:t>
      </w:r>
    </w:p>
    <w:p w14:paraId="2959E614">
      <w:pPr>
        <w:numPr>
          <w:ilvl w:val="2"/>
          <w:numId w:val="2"/>
        </w:numPr>
        <w:spacing w:line="360" w:lineRule="auto"/>
        <w:ind w:left="0" w:firstLine="0"/>
        <w:jc w:val="left"/>
        <w:rPr>
          <w:rFonts w:ascii="宋体" w:hAnsi="宋体" w:eastAsia="宋体" w:cs="宋体"/>
          <w:sz w:val="24"/>
          <w:szCs w:val="24"/>
        </w:rPr>
      </w:pPr>
      <w:r>
        <w:rPr>
          <w:rFonts w:hint="eastAsia" w:ascii="宋体" w:hAnsi="宋体" w:eastAsia="宋体" w:cs="宋体"/>
          <w:sz w:val="24"/>
          <w:szCs w:val="24"/>
        </w:rPr>
        <w:t>提交及接收技术文件和技术服务成果。</w:t>
      </w:r>
    </w:p>
    <w:p w14:paraId="25239222">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一方变更联系人的，应当及时以书面形式通知另一方。一方未及时通知另一方上述变更，给另一方造成损失的，应承担相应的赔偿责任。</w:t>
      </w:r>
    </w:p>
    <w:p w14:paraId="0727C59D">
      <w:pPr>
        <w:spacing w:line="360" w:lineRule="auto"/>
        <w:jc w:val="left"/>
        <w:rPr>
          <w:rFonts w:ascii="宋体" w:hAnsi="宋体" w:eastAsia="宋体" w:cs="宋体"/>
          <w:color w:val="000000"/>
          <w:sz w:val="24"/>
          <w:szCs w:val="24"/>
        </w:rPr>
      </w:pPr>
    </w:p>
    <w:p w14:paraId="6B5AEA27">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不可抗力</w:t>
      </w:r>
    </w:p>
    <w:p w14:paraId="707CC40E">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不可抗力指火灾、地震、洪水、暴乱、战争等不能预见、不能克服、无法避免的客观情况。</w:t>
      </w:r>
    </w:p>
    <w:p w14:paraId="64D28D01">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因不可抗力原因造成合同一方无法履行合同的，根据不可抗力的影响，遭受不可抗力的一方全部或部分免责。</w:t>
      </w:r>
    </w:p>
    <w:p w14:paraId="3D36B504">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遭受不可抗力的一方应在不可抗力事件发生后尽快通知对方，并于事件发生后10天内，以书面形式向对方提交有关政府就该不可抗力的发生出具的证明文件。</w:t>
      </w:r>
    </w:p>
    <w:p w14:paraId="7702374D">
      <w:pPr>
        <w:spacing w:line="360" w:lineRule="auto"/>
        <w:jc w:val="left"/>
        <w:rPr>
          <w:rFonts w:ascii="宋体" w:hAnsi="宋体" w:eastAsia="宋体" w:cs="宋体"/>
          <w:b/>
          <w:bCs/>
          <w:color w:val="000000"/>
          <w:sz w:val="24"/>
          <w:szCs w:val="24"/>
        </w:rPr>
      </w:pPr>
    </w:p>
    <w:p w14:paraId="79977192">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争议解决</w:t>
      </w:r>
    </w:p>
    <w:p w14:paraId="01710DDC">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如有争议由双方友好协商解决。协商不成的，可向工程所在地人民法院起诉解决。</w:t>
      </w:r>
    </w:p>
    <w:p w14:paraId="41FAF478">
      <w:pPr>
        <w:spacing w:line="360" w:lineRule="auto"/>
        <w:jc w:val="left"/>
        <w:rPr>
          <w:rFonts w:ascii="宋体" w:hAnsi="宋体" w:eastAsia="宋体" w:cs="宋体"/>
          <w:color w:val="000000"/>
          <w:sz w:val="24"/>
          <w:szCs w:val="24"/>
        </w:rPr>
      </w:pPr>
    </w:p>
    <w:p w14:paraId="0CDE9CD2">
      <w:pPr>
        <w:numPr>
          <w:ilvl w:val="0"/>
          <w:numId w:val="2"/>
        </w:numPr>
        <w:spacing w:line="360" w:lineRule="auto"/>
        <w:ind w:left="0" w:firstLine="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其他</w:t>
      </w:r>
    </w:p>
    <w:p w14:paraId="078DA12B">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合同在执行过程中出现的未尽事宜，协商解决，并签订补充协议。</w:t>
      </w:r>
    </w:p>
    <w:p w14:paraId="08282FF5">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合同签订、履行过程中所涉及的所有文件均应采用书面形式</w:t>
      </w:r>
      <w:r>
        <w:rPr>
          <w:rFonts w:hint="eastAsia" w:ascii="宋体" w:hAnsi="宋体" w:eastAsia="宋体" w:cs="宋体"/>
          <w:sz w:val="24"/>
        </w:rPr>
        <w:t>，若书面文件内容涉及变更、调整、补充、确认本合同内容，则该书面文件在</w:t>
      </w:r>
      <w:r>
        <w:rPr>
          <w:rFonts w:hint="eastAsia" w:ascii="宋体" w:hAnsi="宋体" w:eastAsia="宋体" w:cs="宋体"/>
          <w:color w:val="000000"/>
          <w:sz w:val="24"/>
          <w:szCs w:val="24"/>
        </w:rPr>
        <w:t>盖章</w:t>
      </w:r>
      <w:r>
        <w:rPr>
          <w:rFonts w:hint="eastAsia" w:ascii="宋体" w:hAnsi="宋体" w:eastAsia="宋体" w:cs="宋体"/>
          <w:sz w:val="24"/>
        </w:rPr>
        <w:t>并经法定代表人或其授权人签字后生效。</w:t>
      </w:r>
    </w:p>
    <w:p w14:paraId="57DD9DF4">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合同自双方盖章并由法定代表人或其授权人签字之日起生效。</w:t>
      </w:r>
    </w:p>
    <w:p w14:paraId="6CF3C97B">
      <w:pPr>
        <w:numPr>
          <w:ilvl w:val="1"/>
          <w:numId w:val="2"/>
        </w:numPr>
        <w:spacing w:line="360" w:lineRule="auto"/>
        <w:ind w:firstLine="0"/>
        <w:jc w:val="left"/>
        <w:rPr>
          <w:rFonts w:ascii="宋体" w:hAnsi="宋体" w:eastAsia="宋体" w:cs="宋体"/>
          <w:color w:val="000000"/>
          <w:sz w:val="24"/>
          <w:szCs w:val="24"/>
        </w:rPr>
      </w:pPr>
      <w:r>
        <w:rPr>
          <w:rFonts w:hint="eastAsia" w:ascii="宋体" w:hAnsi="宋体" w:eastAsia="宋体" w:cs="宋体"/>
          <w:color w:val="000000"/>
          <w:sz w:val="24"/>
          <w:szCs w:val="24"/>
        </w:rPr>
        <w:t>本合同一式六份，甲方执四份，乙方执二份。</w:t>
      </w:r>
    </w:p>
    <w:p w14:paraId="38DD688A">
      <w:pPr>
        <w:spacing w:line="360" w:lineRule="auto"/>
        <w:ind w:firstLine="560"/>
        <w:rPr>
          <w:rFonts w:ascii="宋体" w:hAnsi="宋体" w:eastAsia="宋体" w:cs="宋体"/>
          <w:color w:val="000000"/>
          <w:sz w:val="24"/>
          <w:szCs w:val="24"/>
        </w:rPr>
      </w:pPr>
    </w:p>
    <w:p w14:paraId="0E320715">
      <w:pPr>
        <w:spacing w:line="360" w:lineRule="auto"/>
        <w:ind w:firstLine="560"/>
        <w:rPr>
          <w:rFonts w:ascii="宋体" w:hAnsi="宋体" w:eastAsia="宋体" w:cs="宋体"/>
          <w:color w:val="000000"/>
          <w:sz w:val="24"/>
          <w:szCs w:val="24"/>
        </w:rPr>
      </w:pPr>
    </w:p>
    <w:p w14:paraId="016A623B">
      <w:pPr>
        <w:spacing w:line="360" w:lineRule="auto"/>
        <w:ind w:firstLine="560"/>
        <w:rPr>
          <w:rFonts w:ascii="宋体" w:hAnsi="宋体" w:eastAsia="宋体" w:cs="宋体"/>
          <w:color w:val="000000"/>
          <w:sz w:val="24"/>
          <w:szCs w:val="24"/>
        </w:rPr>
      </w:pPr>
    </w:p>
    <w:p w14:paraId="7A2EB1D8">
      <w:pPr>
        <w:spacing w:line="360" w:lineRule="auto"/>
        <w:ind w:firstLine="560" w:firstLineChars="200"/>
        <w:rPr>
          <w:rFonts w:ascii="宋体" w:hAnsi="宋体" w:eastAsia="宋体" w:cs="宋体"/>
          <w:sz w:val="28"/>
          <w:szCs w:val="24"/>
        </w:rPr>
      </w:pPr>
      <w:r>
        <w:rPr>
          <w:rFonts w:hint="eastAsia" w:ascii="宋体" w:hAnsi="宋体" w:eastAsia="宋体" w:cs="宋体"/>
          <w:sz w:val="28"/>
          <w:szCs w:val="24"/>
        </w:rPr>
        <w:t xml:space="preserve">甲方（盖章）：                 乙方（盖章）： </w:t>
      </w:r>
    </w:p>
    <w:p w14:paraId="6E1FC66E">
      <w:pPr>
        <w:spacing w:line="360" w:lineRule="auto"/>
        <w:ind w:firstLine="560" w:firstLineChars="200"/>
        <w:rPr>
          <w:rFonts w:ascii="宋体" w:hAnsi="宋体" w:eastAsia="宋体" w:cs="宋体"/>
          <w:sz w:val="28"/>
          <w:szCs w:val="24"/>
        </w:rPr>
      </w:pPr>
      <w:r>
        <w:rPr>
          <w:rFonts w:hint="eastAsia" w:ascii="宋体" w:hAnsi="宋体" w:eastAsia="宋体" w:cs="宋体"/>
          <w:sz w:val="28"/>
          <w:szCs w:val="24"/>
        </w:rPr>
        <w:t>法定代表人：                   法定代表人：</w:t>
      </w:r>
    </w:p>
    <w:p w14:paraId="462CA3BF">
      <w:pPr>
        <w:spacing w:line="360" w:lineRule="auto"/>
        <w:ind w:firstLine="560" w:firstLineChars="200"/>
        <w:rPr>
          <w:rFonts w:ascii="宋体" w:hAnsi="宋体" w:eastAsia="宋体" w:cs="宋体"/>
          <w:sz w:val="28"/>
          <w:szCs w:val="24"/>
        </w:rPr>
      </w:pPr>
      <w:r>
        <w:rPr>
          <w:rFonts w:hint="eastAsia" w:ascii="宋体" w:hAnsi="宋体" w:eastAsia="宋体" w:cs="宋体"/>
          <w:sz w:val="28"/>
          <w:szCs w:val="24"/>
        </w:rPr>
        <w:t>或                             或</w:t>
      </w:r>
    </w:p>
    <w:p w14:paraId="6EFCB431">
      <w:pPr>
        <w:spacing w:line="360" w:lineRule="auto"/>
        <w:ind w:firstLine="560" w:firstLineChars="200"/>
        <w:rPr>
          <w:rFonts w:ascii="宋体" w:hAnsi="宋体" w:eastAsia="宋体" w:cs="宋体"/>
          <w:sz w:val="28"/>
          <w:szCs w:val="24"/>
        </w:rPr>
      </w:pPr>
      <w:r>
        <w:rPr>
          <w:rFonts w:hint="eastAsia" w:ascii="宋体" w:hAnsi="宋体" w:eastAsia="宋体" w:cs="宋体"/>
          <w:sz w:val="28"/>
          <w:szCs w:val="24"/>
        </w:rPr>
        <w:t>委托代理人：                   委托代理人：：</w:t>
      </w:r>
    </w:p>
    <w:p w14:paraId="095FD405">
      <w:pPr>
        <w:spacing w:line="360" w:lineRule="auto"/>
        <w:ind w:firstLine="560" w:firstLineChars="200"/>
        <w:rPr>
          <w:rFonts w:ascii="宋体" w:hAnsi="宋体" w:eastAsia="宋体" w:cs="宋体"/>
        </w:rPr>
      </w:pPr>
      <w:r>
        <w:rPr>
          <w:rFonts w:hint="eastAsia" w:ascii="宋体" w:hAnsi="宋体" w:eastAsia="宋体" w:cs="宋体"/>
          <w:sz w:val="28"/>
          <w:szCs w:val="24"/>
        </w:rPr>
        <w:t>日期：  年 月 日               日期：年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9709CA"/>
    <w:multiLevelType w:val="multilevel"/>
    <w:tmpl w:val="1F9709CA"/>
    <w:lvl w:ilvl="0" w:tentative="0">
      <w:start w:val="1"/>
      <w:numFmt w:val="decimal"/>
      <w:lvlText w:val="%1．"/>
      <w:lvlJc w:val="left"/>
      <w:pPr>
        <w:ind w:left="108" w:hanging="108"/>
      </w:pPr>
      <w:rPr>
        <w:rFonts w:hint="default" w:ascii="Times New Roman" w:hAnsi="Times New Roman" w:eastAsia="宋体" w:cs="Times New Roman"/>
      </w:rPr>
    </w:lvl>
    <w:lvl w:ilvl="1" w:tentative="0">
      <w:start w:val="1"/>
      <w:numFmt w:val="decimal"/>
      <w:lvlText w:val="%1.%2."/>
      <w:lvlJc w:val="left"/>
      <w:pPr>
        <w:ind w:left="0" w:hanging="595"/>
      </w:pPr>
      <w:rPr>
        <w:rFonts w:hint="default" w:ascii="Times New Roman" w:hAnsi="Times New Roman" w:cs="Times New Roman"/>
      </w:rPr>
    </w:lvl>
    <w:lvl w:ilvl="2" w:tentative="0">
      <w:start w:val="1"/>
      <w:numFmt w:val="decimal"/>
      <w:lvlText w:val="%1.%2.%3."/>
      <w:lvlJc w:val="left"/>
      <w:pPr>
        <w:ind w:left="1560" w:hanging="709"/>
      </w:pPr>
      <w:rPr>
        <w:rFonts w:hint="default" w:ascii="Times New Roman" w:hAnsi="Times New Roman" w:cs="Times New Roman"/>
      </w:rPr>
    </w:lvl>
    <w:lvl w:ilvl="3" w:tentative="0">
      <w:start w:val="1"/>
      <w:numFmt w:val="decimal"/>
      <w:lvlText w:val="%1.%2.%3.%4."/>
      <w:lvlJc w:val="left"/>
      <w:pPr>
        <w:ind w:left="534" w:hanging="851"/>
      </w:pPr>
      <w:rPr>
        <w:rFonts w:hint="eastAsia"/>
      </w:rPr>
    </w:lvl>
    <w:lvl w:ilvl="4" w:tentative="0">
      <w:start w:val="1"/>
      <w:numFmt w:val="decimal"/>
      <w:lvlText w:val="%1.%2.%3.%4.%5."/>
      <w:lvlJc w:val="left"/>
      <w:pPr>
        <w:ind w:left="675" w:hanging="992"/>
      </w:pPr>
      <w:rPr>
        <w:rFonts w:hint="eastAsia"/>
      </w:rPr>
    </w:lvl>
    <w:lvl w:ilvl="5" w:tentative="0">
      <w:start w:val="1"/>
      <w:numFmt w:val="decimal"/>
      <w:lvlText w:val="%1.%2.%3.%4.%5.%6."/>
      <w:lvlJc w:val="left"/>
      <w:pPr>
        <w:ind w:left="817" w:hanging="1134"/>
      </w:pPr>
      <w:rPr>
        <w:rFonts w:hint="eastAsia"/>
      </w:rPr>
    </w:lvl>
    <w:lvl w:ilvl="6" w:tentative="0">
      <w:start w:val="1"/>
      <w:numFmt w:val="decimal"/>
      <w:lvlText w:val="%1.%2.%3.%4.%5.%6.%7."/>
      <w:lvlJc w:val="left"/>
      <w:pPr>
        <w:ind w:left="959" w:hanging="1276"/>
      </w:pPr>
      <w:rPr>
        <w:rFonts w:hint="eastAsia"/>
      </w:rPr>
    </w:lvl>
    <w:lvl w:ilvl="7" w:tentative="0">
      <w:start w:val="1"/>
      <w:numFmt w:val="decimal"/>
      <w:lvlText w:val="%1.%2.%3.%4.%5.%6.%7.%8."/>
      <w:lvlJc w:val="left"/>
      <w:pPr>
        <w:ind w:left="1101" w:hanging="1418"/>
      </w:pPr>
      <w:rPr>
        <w:rFonts w:hint="eastAsia"/>
      </w:rPr>
    </w:lvl>
    <w:lvl w:ilvl="8" w:tentative="0">
      <w:start w:val="1"/>
      <w:numFmt w:val="decimal"/>
      <w:lvlText w:val="%1.%2.%3.%4.%5.%6.%7.%8.%9."/>
      <w:lvlJc w:val="left"/>
      <w:pPr>
        <w:ind w:left="1242" w:hanging="1559"/>
      </w:pPr>
      <w:rPr>
        <w:rFonts w:hint="eastAsia"/>
      </w:rPr>
    </w:lvl>
  </w:abstractNum>
  <w:abstractNum w:abstractNumId="1">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EyNDM2MmY3NzBiNWYxOTgwY2VjMzMwNGI0NjAzNDYifQ=="/>
  </w:docVars>
  <w:rsids>
    <w:rsidRoot w:val="00427E8C"/>
    <w:rsid w:val="00005B77"/>
    <w:rsid w:val="00014C2A"/>
    <w:rsid w:val="00015ABB"/>
    <w:rsid w:val="00044E8A"/>
    <w:rsid w:val="00127B2C"/>
    <w:rsid w:val="001412D1"/>
    <w:rsid w:val="00175472"/>
    <w:rsid w:val="00183DAA"/>
    <w:rsid w:val="00192C08"/>
    <w:rsid w:val="001C312D"/>
    <w:rsid w:val="001D7EAA"/>
    <w:rsid w:val="00211AC3"/>
    <w:rsid w:val="00215D61"/>
    <w:rsid w:val="00225447"/>
    <w:rsid w:val="00241154"/>
    <w:rsid w:val="00281FE3"/>
    <w:rsid w:val="00285A70"/>
    <w:rsid w:val="002E429E"/>
    <w:rsid w:val="00314756"/>
    <w:rsid w:val="00351CAC"/>
    <w:rsid w:val="00351FEF"/>
    <w:rsid w:val="003532FE"/>
    <w:rsid w:val="00381963"/>
    <w:rsid w:val="00386195"/>
    <w:rsid w:val="003A4449"/>
    <w:rsid w:val="003D0E10"/>
    <w:rsid w:val="003F3B54"/>
    <w:rsid w:val="00402FFD"/>
    <w:rsid w:val="00415D3D"/>
    <w:rsid w:val="00427E8C"/>
    <w:rsid w:val="00451D7A"/>
    <w:rsid w:val="00485839"/>
    <w:rsid w:val="004C0745"/>
    <w:rsid w:val="004C4EB1"/>
    <w:rsid w:val="0051784E"/>
    <w:rsid w:val="005C263A"/>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1189F"/>
    <w:rsid w:val="00A140F8"/>
    <w:rsid w:val="00A42487"/>
    <w:rsid w:val="00A73F85"/>
    <w:rsid w:val="00A76648"/>
    <w:rsid w:val="00A81D6B"/>
    <w:rsid w:val="00AB16E8"/>
    <w:rsid w:val="00AB2711"/>
    <w:rsid w:val="00AC4835"/>
    <w:rsid w:val="00AE7F34"/>
    <w:rsid w:val="00B04AE5"/>
    <w:rsid w:val="00B336ED"/>
    <w:rsid w:val="00C6503B"/>
    <w:rsid w:val="00CD65FA"/>
    <w:rsid w:val="00CE2F22"/>
    <w:rsid w:val="00CE6D8C"/>
    <w:rsid w:val="00D471FB"/>
    <w:rsid w:val="00D75944"/>
    <w:rsid w:val="00E04394"/>
    <w:rsid w:val="00E879C4"/>
    <w:rsid w:val="00EC318E"/>
    <w:rsid w:val="011A24F4"/>
    <w:rsid w:val="013E4434"/>
    <w:rsid w:val="01505F15"/>
    <w:rsid w:val="01AA3877"/>
    <w:rsid w:val="01E118B0"/>
    <w:rsid w:val="029D33DC"/>
    <w:rsid w:val="038F0F77"/>
    <w:rsid w:val="04111891"/>
    <w:rsid w:val="048E7480"/>
    <w:rsid w:val="054A784B"/>
    <w:rsid w:val="05831602"/>
    <w:rsid w:val="071D4AEC"/>
    <w:rsid w:val="074438CD"/>
    <w:rsid w:val="0777244E"/>
    <w:rsid w:val="07CE2BC3"/>
    <w:rsid w:val="08326ECC"/>
    <w:rsid w:val="09D04097"/>
    <w:rsid w:val="09D41DD9"/>
    <w:rsid w:val="0A4F76B2"/>
    <w:rsid w:val="0A6F4340"/>
    <w:rsid w:val="0B195170"/>
    <w:rsid w:val="0D4032E2"/>
    <w:rsid w:val="0DA665D0"/>
    <w:rsid w:val="0DFF319D"/>
    <w:rsid w:val="0F5E7E3E"/>
    <w:rsid w:val="0FCB3337"/>
    <w:rsid w:val="0FF46D31"/>
    <w:rsid w:val="111E1B8C"/>
    <w:rsid w:val="111F7DDE"/>
    <w:rsid w:val="12216BA7"/>
    <w:rsid w:val="128B3251"/>
    <w:rsid w:val="12B014B1"/>
    <w:rsid w:val="13BC1734"/>
    <w:rsid w:val="13E40E6B"/>
    <w:rsid w:val="14096AE8"/>
    <w:rsid w:val="14904B4F"/>
    <w:rsid w:val="149F2FE4"/>
    <w:rsid w:val="15152BA7"/>
    <w:rsid w:val="15EA79CF"/>
    <w:rsid w:val="161D2412"/>
    <w:rsid w:val="16394D7C"/>
    <w:rsid w:val="188629E4"/>
    <w:rsid w:val="19792055"/>
    <w:rsid w:val="19DB038C"/>
    <w:rsid w:val="19F94F44"/>
    <w:rsid w:val="1A644AB4"/>
    <w:rsid w:val="1A6920CA"/>
    <w:rsid w:val="1A937147"/>
    <w:rsid w:val="1B8A22F8"/>
    <w:rsid w:val="1C2C223D"/>
    <w:rsid w:val="1C874A89"/>
    <w:rsid w:val="1C8B37EB"/>
    <w:rsid w:val="1CEC2B3E"/>
    <w:rsid w:val="1DE101C9"/>
    <w:rsid w:val="1E2D1660"/>
    <w:rsid w:val="1FA52381"/>
    <w:rsid w:val="20250841"/>
    <w:rsid w:val="20AC4ABE"/>
    <w:rsid w:val="222E7492"/>
    <w:rsid w:val="224C6559"/>
    <w:rsid w:val="22E04EF3"/>
    <w:rsid w:val="22E744D4"/>
    <w:rsid w:val="22F97D63"/>
    <w:rsid w:val="23A91789"/>
    <w:rsid w:val="23BA5744"/>
    <w:rsid w:val="24392B0D"/>
    <w:rsid w:val="2455546D"/>
    <w:rsid w:val="258C4EBE"/>
    <w:rsid w:val="2635037A"/>
    <w:rsid w:val="277B343D"/>
    <w:rsid w:val="27826579"/>
    <w:rsid w:val="2795596F"/>
    <w:rsid w:val="28261AB4"/>
    <w:rsid w:val="28BE24B8"/>
    <w:rsid w:val="29451A9A"/>
    <w:rsid w:val="298A7967"/>
    <w:rsid w:val="29C25353"/>
    <w:rsid w:val="2A021BF3"/>
    <w:rsid w:val="2BD96984"/>
    <w:rsid w:val="2C5524AE"/>
    <w:rsid w:val="2C5A1872"/>
    <w:rsid w:val="2CAB0320"/>
    <w:rsid w:val="2CC17B44"/>
    <w:rsid w:val="2D0F6B83"/>
    <w:rsid w:val="2DEE2BBA"/>
    <w:rsid w:val="2E690C00"/>
    <w:rsid w:val="2E9501E9"/>
    <w:rsid w:val="2FA774C5"/>
    <w:rsid w:val="307B44AD"/>
    <w:rsid w:val="315A2315"/>
    <w:rsid w:val="351E4F0B"/>
    <w:rsid w:val="36B321B4"/>
    <w:rsid w:val="36F6488E"/>
    <w:rsid w:val="373C0842"/>
    <w:rsid w:val="38C70290"/>
    <w:rsid w:val="3A520308"/>
    <w:rsid w:val="3AC32CD9"/>
    <w:rsid w:val="3BC27434"/>
    <w:rsid w:val="3BF04328"/>
    <w:rsid w:val="3CF44222"/>
    <w:rsid w:val="3D4F6AA6"/>
    <w:rsid w:val="3D5B369C"/>
    <w:rsid w:val="3D94095C"/>
    <w:rsid w:val="3E2A79A7"/>
    <w:rsid w:val="3E686071"/>
    <w:rsid w:val="3EA13331"/>
    <w:rsid w:val="3FDB2873"/>
    <w:rsid w:val="400E2C48"/>
    <w:rsid w:val="41EF2605"/>
    <w:rsid w:val="445175A7"/>
    <w:rsid w:val="446F7A2D"/>
    <w:rsid w:val="45444B57"/>
    <w:rsid w:val="45C75D73"/>
    <w:rsid w:val="46276120"/>
    <w:rsid w:val="468A5331"/>
    <w:rsid w:val="481608EC"/>
    <w:rsid w:val="48411EEB"/>
    <w:rsid w:val="4A4200BE"/>
    <w:rsid w:val="4A87260C"/>
    <w:rsid w:val="4ACC7988"/>
    <w:rsid w:val="4BA31446"/>
    <w:rsid w:val="4BC32B39"/>
    <w:rsid w:val="4CA7245A"/>
    <w:rsid w:val="4CAF7C4A"/>
    <w:rsid w:val="4D6C0776"/>
    <w:rsid w:val="4FA71C3F"/>
    <w:rsid w:val="4FCE7CFE"/>
    <w:rsid w:val="4FED287A"/>
    <w:rsid w:val="50334005"/>
    <w:rsid w:val="505226DD"/>
    <w:rsid w:val="50BB7B5F"/>
    <w:rsid w:val="518014CC"/>
    <w:rsid w:val="52383B54"/>
    <w:rsid w:val="523C4674"/>
    <w:rsid w:val="52B21B59"/>
    <w:rsid w:val="547F146C"/>
    <w:rsid w:val="54AA6F8B"/>
    <w:rsid w:val="554D57DE"/>
    <w:rsid w:val="55713605"/>
    <w:rsid w:val="56004989"/>
    <w:rsid w:val="567F61F6"/>
    <w:rsid w:val="56867584"/>
    <w:rsid w:val="56F52014"/>
    <w:rsid w:val="59683D55"/>
    <w:rsid w:val="596F145A"/>
    <w:rsid w:val="59BD3581"/>
    <w:rsid w:val="5A1F7AD4"/>
    <w:rsid w:val="5A24647E"/>
    <w:rsid w:val="5A513A05"/>
    <w:rsid w:val="5A5D23AA"/>
    <w:rsid w:val="5A9606EA"/>
    <w:rsid w:val="5B5F03A4"/>
    <w:rsid w:val="5B745BFD"/>
    <w:rsid w:val="5BD13050"/>
    <w:rsid w:val="5C0F3B78"/>
    <w:rsid w:val="5C162003"/>
    <w:rsid w:val="5D610403"/>
    <w:rsid w:val="60341DFF"/>
    <w:rsid w:val="60EE6452"/>
    <w:rsid w:val="613F280A"/>
    <w:rsid w:val="618E51BB"/>
    <w:rsid w:val="61903065"/>
    <w:rsid w:val="61E3588B"/>
    <w:rsid w:val="646F3406"/>
    <w:rsid w:val="64722EF6"/>
    <w:rsid w:val="649B244D"/>
    <w:rsid w:val="64AE394D"/>
    <w:rsid w:val="65053D6A"/>
    <w:rsid w:val="6660394E"/>
    <w:rsid w:val="6670437E"/>
    <w:rsid w:val="6732696D"/>
    <w:rsid w:val="6760172C"/>
    <w:rsid w:val="67650AF0"/>
    <w:rsid w:val="69935DE8"/>
    <w:rsid w:val="6A2151A2"/>
    <w:rsid w:val="6A3B129C"/>
    <w:rsid w:val="6B07420D"/>
    <w:rsid w:val="6C2C6080"/>
    <w:rsid w:val="6CD438E8"/>
    <w:rsid w:val="6CFC3CA5"/>
    <w:rsid w:val="6E22598D"/>
    <w:rsid w:val="6E906D9A"/>
    <w:rsid w:val="6EA2262A"/>
    <w:rsid w:val="6F8F29A1"/>
    <w:rsid w:val="706A53C9"/>
    <w:rsid w:val="71811EAF"/>
    <w:rsid w:val="71D92806"/>
    <w:rsid w:val="72FD2525"/>
    <w:rsid w:val="73CB43D1"/>
    <w:rsid w:val="74B35591"/>
    <w:rsid w:val="75703482"/>
    <w:rsid w:val="75A41515"/>
    <w:rsid w:val="76A74C8A"/>
    <w:rsid w:val="76D637B8"/>
    <w:rsid w:val="76FD2AF3"/>
    <w:rsid w:val="776963DA"/>
    <w:rsid w:val="7808209B"/>
    <w:rsid w:val="780B1240"/>
    <w:rsid w:val="7819395D"/>
    <w:rsid w:val="78727511"/>
    <w:rsid w:val="78BC253A"/>
    <w:rsid w:val="79075EAB"/>
    <w:rsid w:val="7B310FBD"/>
    <w:rsid w:val="7C0F6613"/>
    <w:rsid w:val="7CCF0A8E"/>
    <w:rsid w:val="7D221505"/>
    <w:rsid w:val="7D741635"/>
    <w:rsid w:val="7E941F8F"/>
    <w:rsid w:val="7F3E6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文本首行缩进 字符"/>
    <w:basedOn w:val="20"/>
    <w:link w:val="9"/>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5512</Words>
  <Characters>5673</Characters>
  <Lines>52</Lines>
  <Paragraphs>14</Paragraphs>
  <TotalTime>146</TotalTime>
  <ScaleCrop>false</ScaleCrop>
  <LinksUpToDate>false</LinksUpToDate>
  <CharactersWithSpaces>6779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管理员</cp:lastModifiedBy>
  <cp:lastPrinted>2024-10-21T07:49:00Z</cp:lastPrinted>
  <dcterms:modified xsi:type="dcterms:W3CDTF">2024-10-25T03:23:44Z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B6B84783BAE045789EEB0D43EA136CDA_13</vt:lpwstr>
  </property>
</Properties>
</file>